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BA997">
      <w:pPr>
        <w:jc w:val="center"/>
        <w:rPr>
          <w:rFonts w:hint="eastAsia"/>
          <w:color w:val="000000"/>
        </w:rPr>
      </w:pPr>
    </w:p>
    <w:p w14:paraId="7E4F0D90">
      <w:pPr>
        <w:spacing w:line="20" w:lineRule="exact"/>
        <w:rPr>
          <w:rFonts w:hint="eastAsia"/>
          <w:color w:val="000000"/>
        </w:rPr>
      </w:pPr>
    </w:p>
    <w:p w14:paraId="36613F25">
      <w:pPr>
        <w:spacing w:line="560" w:lineRule="exact"/>
        <w:jc w:val="both"/>
        <w:rPr>
          <w:rFonts w:hint="eastAsia" w:ascii="方正小标宋_GBK" w:hAnsi="TimesNewRoman" w:eastAsia="方正小标宋_GBK" w:cs="TimesNewRoman"/>
          <w:sz w:val="44"/>
          <w:szCs w:val="44"/>
        </w:rPr>
      </w:pPr>
    </w:p>
    <w:p w14:paraId="30EFB3B5">
      <w:pPr>
        <w:spacing w:line="560" w:lineRule="exact"/>
        <w:jc w:val="center"/>
        <w:rPr>
          <w:rFonts w:hint="eastAsia" w:ascii="方正小标宋简体" w:hAnsi="方正小标宋简体" w:eastAsia="方正小标宋简体" w:cs="TimesNewRoman"/>
          <w:sz w:val="44"/>
          <w:szCs w:val="44"/>
        </w:rPr>
      </w:pPr>
      <w:r>
        <w:rPr>
          <w:rFonts w:hint="eastAsia" w:ascii="方正小标宋简体" w:hAnsi="方正小标宋简体" w:eastAsia="方正小标宋简体" w:cs="TimesNewRoman"/>
          <w:sz w:val="44"/>
          <w:szCs w:val="44"/>
        </w:rPr>
        <w:t>寿县众兴镇卫生院2026年</w:t>
      </w:r>
    </w:p>
    <w:p w14:paraId="2774A61B">
      <w:pPr>
        <w:spacing w:line="560" w:lineRule="exact"/>
        <w:jc w:val="center"/>
        <w:rPr>
          <w:rFonts w:hint="eastAsia" w:ascii="方正小标宋简体" w:hAnsi="方正小标宋简体" w:eastAsia="方正小标宋简体" w:cs="TimesNewRoman"/>
          <w:sz w:val="44"/>
          <w:szCs w:val="44"/>
        </w:rPr>
      </w:pPr>
      <w:r>
        <w:rPr>
          <w:rFonts w:hint="eastAsia" w:ascii="方正小标宋简体" w:hAnsi="方正小标宋简体" w:eastAsia="方正小标宋简体" w:cs="TimesNewRoman"/>
          <w:sz w:val="44"/>
          <w:szCs w:val="44"/>
          <w:lang w:val="en-US" w:eastAsia="zh-CN"/>
        </w:rPr>
        <w:t>单位</w:t>
      </w:r>
      <w:r>
        <w:rPr>
          <w:rFonts w:hint="eastAsia" w:ascii="方正小标宋简体" w:hAnsi="方正小标宋简体" w:eastAsia="方正小标宋简体" w:cs="TimesNewRoman"/>
          <w:sz w:val="44"/>
          <w:szCs w:val="44"/>
        </w:rPr>
        <w:t>预算</w:t>
      </w:r>
    </w:p>
    <w:p w14:paraId="3EAD0941">
      <w:pPr>
        <w:pStyle w:val="15"/>
        <w:spacing w:line="560" w:lineRule="exact"/>
        <w:jc w:val="center"/>
        <w:outlineLvl w:val="0"/>
        <w:rPr>
          <w:rFonts w:hint="eastAsia" w:ascii="方正小标宋简体" w:hAnsi="方正小标宋简体" w:eastAsia="方正小标宋简体" w:cs="TimesNewRoman"/>
          <w:sz w:val="32"/>
          <w:szCs w:val="32"/>
        </w:rPr>
      </w:pPr>
    </w:p>
    <w:p w14:paraId="7A8CD92D">
      <w:pPr>
        <w:pStyle w:val="15"/>
        <w:spacing w:line="560" w:lineRule="exact"/>
        <w:jc w:val="center"/>
        <w:rPr>
          <w:rFonts w:hint="eastAsia" w:ascii="仿宋_GB2312" w:hAnsi="TimesNewRoman" w:eastAsia="仿宋_GB2312" w:cs="TimesNewRoman"/>
          <w:bCs/>
          <w:sz w:val="32"/>
          <w:szCs w:val="32"/>
        </w:rPr>
      </w:pPr>
    </w:p>
    <w:p w14:paraId="72039CF9">
      <w:pPr>
        <w:pStyle w:val="15"/>
        <w:spacing w:line="560" w:lineRule="exact"/>
        <w:jc w:val="center"/>
        <w:rPr>
          <w:rFonts w:hint="eastAsia" w:ascii="仿宋_GB2312" w:hAnsi="TimesNewRoman" w:eastAsia="仿宋_GB2312" w:cs="TimesNewRoman"/>
          <w:bCs/>
          <w:sz w:val="32"/>
          <w:szCs w:val="32"/>
        </w:rPr>
      </w:pPr>
    </w:p>
    <w:p w14:paraId="0FCA0441">
      <w:pPr>
        <w:pStyle w:val="15"/>
        <w:spacing w:line="560" w:lineRule="exact"/>
        <w:jc w:val="center"/>
        <w:rPr>
          <w:rFonts w:hint="eastAsia" w:ascii="仿宋_GB2312" w:hAnsi="TimesNewRoman" w:eastAsia="仿宋_GB2312" w:cs="TimesNewRoman"/>
          <w:bCs/>
          <w:sz w:val="32"/>
          <w:szCs w:val="32"/>
        </w:rPr>
      </w:pPr>
    </w:p>
    <w:p w14:paraId="66918F6D">
      <w:pPr>
        <w:pStyle w:val="15"/>
        <w:spacing w:line="560" w:lineRule="exact"/>
        <w:jc w:val="center"/>
        <w:rPr>
          <w:rFonts w:hint="eastAsia" w:ascii="仿宋_GB2312" w:hAnsi="TimesNewRoman" w:eastAsia="仿宋_GB2312" w:cs="TimesNewRoman"/>
          <w:bCs/>
          <w:sz w:val="32"/>
          <w:szCs w:val="32"/>
        </w:rPr>
      </w:pPr>
    </w:p>
    <w:p w14:paraId="3E07CF68">
      <w:pPr>
        <w:pStyle w:val="15"/>
        <w:spacing w:line="560" w:lineRule="exact"/>
        <w:jc w:val="center"/>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2026年1月</w:t>
      </w:r>
    </w:p>
    <w:p w14:paraId="68412D7B">
      <w:pPr>
        <w:pStyle w:val="15"/>
        <w:spacing w:line="560" w:lineRule="exact"/>
        <w:jc w:val="center"/>
        <w:rPr>
          <w:rFonts w:hint="eastAsia" w:ascii="方正小标宋_GBK" w:hAnsi="TimesNewRoman" w:eastAsia="方正小标宋_GBK" w:cs="TimesNewRoman"/>
          <w:bCs/>
          <w:sz w:val="44"/>
          <w:szCs w:val="44"/>
        </w:rPr>
      </w:pPr>
    </w:p>
    <w:p w14:paraId="1E346825">
      <w:pPr>
        <w:pStyle w:val="15"/>
        <w:spacing w:line="560" w:lineRule="exact"/>
        <w:jc w:val="center"/>
        <w:rPr>
          <w:rFonts w:hint="eastAsia" w:ascii="方正小标宋_GBK" w:hAnsi="TimesNewRoman" w:eastAsia="方正小标宋_GBK" w:cs="TimesNewRoman"/>
          <w:bCs/>
          <w:sz w:val="44"/>
          <w:szCs w:val="44"/>
        </w:rPr>
      </w:pPr>
    </w:p>
    <w:p w14:paraId="3C6A7975">
      <w:pPr>
        <w:pStyle w:val="15"/>
        <w:spacing w:line="560" w:lineRule="exact"/>
        <w:jc w:val="center"/>
        <w:rPr>
          <w:rFonts w:hint="eastAsia" w:ascii="方正小标宋_GBK" w:hAnsi="TimesNewRoman" w:eastAsia="方正小标宋_GBK" w:cs="TimesNewRoman"/>
          <w:bCs/>
          <w:sz w:val="44"/>
          <w:szCs w:val="44"/>
        </w:rPr>
      </w:pPr>
    </w:p>
    <w:p w14:paraId="1C12B309">
      <w:pPr>
        <w:pStyle w:val="15"/>
        <w:spacing w:line="560" w:lineRule="exact"/>
        <w:jc w:val="center"/>
        <w:rPr>
          <w:rFonts w:hint="eastAsia" w:ascii="方正小标宋_GBK" w:hAnsi="TimesNewRoman" w:eastAsia="方正小标宋_GBK" w:cs="TimesNewRoman"/>
          <w:bCs/>
          <w:sz w:val="44"/>
          <w:szCs w:val="44"/>
        </w:rPr>
      </w:pPr>
    </w:p>
    <w:p w14:paraId="22FE0BFC">
      <w:pPr>
        <w:pStyle w:val="15"/>
        <w:spacing w:line="560" w:lineRule="exact"/>
        <w:jc w:val="center"/>
        <w:rPr>
          <w:rFonts w:hint="eastAsia" w:ascii="方正小标宋_GBK" w:hAnsi="TimesNewRoman" w:eastAsia="方正小标宋_GBK" w:cs="TimesNewRoman"/>
          <w:bCs/>
          <w:sz w:val="44"/>
          <w:szCs w:val="44"/>
        </w:rPr>
      </w:pPr>
    </w:p>
    <w:p w14:paraId="2CFAA125">
      <w:pPr>
        <w:pStyle w:val="15"/>
        <w:spacing w:line="560" w:lineRule="exact"/>
        <w:jc w:val="center"/>
        <w:rPr>
          <w:rFonts w:hint="eastAsia" w:ascii="方正小标宋_GBK" w:hAnsi="TimesNewRoman" w:eastAsia="方正小标宋_GBK" w:cs="TimesNewRoman"/>
          <w:bCs/>
          <w:sz w:val="40"/>
          <w:szCs w:val="44"/>
        </w:rPr>
      </w:pPr>
    </w:p>
    <w:p w14:paraId="57F7A564">
      <w:pPr>
        <w:pStyle w:val="15"/>
        <w:spacing w:line="560" w:lineRule="exact"/>
        <w:jc w:val="center"/>
        <w:rPr>
          <w:rFonts w:hint="eastAsia" w:ascii="方正小标宋_GBK" w:hAnsi="TimesNewRoman" w:eastAsia="方正小标宋_GBK" w:cs="TimesNewRoman"/>
          <w:bCs/>
          <w:sz w:val="40"/>
          <w:szCs w:val="44"/>
        </w:rPr>
      </w:pPr>
    </w:p>
    <w:p w14:paraId="11E2594D">
      <w:pPr>
        <w:pStyle w:val="15"/>
        <w:spacing w:line="560" w:lineRule="exact"/>
        <w:jc w:val="center"/>
        <w:rPr>
          <w:rFonts w:hint="eastAsia" w:ascii="方正小标宋_GBK" w:hAnsi="TimesNewRoman" w:eastAsia="方正小标宋_GBK" w:cs="TimesNewRoman"/>
          <w:bCs/>
          <w:sz w:val="40"/>
          <w:szCs w:val="44"/>
        </w:rPr>
      </w:pPr>
      <w:r>
        <w:rPr>
          <w:rFonts w:hint="eastAsia" w:ascii="方正小标宋_GBK" w:hAnsi="TimesNewRoman" w:eastAsia="方正小标宋_GBK" w:cs="TimesNewRoman"/>
          <w:bCs/>
          <w:sz w:val="40"/>
          <w:szCs w:val="44"/>
        </w:rPr>
        <w:t>目  录</w:t>
      </w:r>
    </w:p>
    <w:p w14:paraId="122D3639">
      <w:pPr>
        <w:pStyle w:val="15"/>
        <w:topLinePunct/>
        <w:spacing w:beforeAutospacing="0" w:afterAutospacing="0" w:line="560" w:lineRule="exact"/>
        <w:ind w:firstLine="648" w:firstLineChars="200"/>
        <w:jc w:val="both"/>
        <w:rPr>
          <w:rFonts w:ascii="黑体" w:hAnsi="黑体" w:eastAsia="黑体" w:cs="TimesNewRoman"/>
          <w:sz w:val="32"/>
          <w:szCs w:val="32"/>
        </w:rPr>
      </w:pPr>
    </w:p>
    <w:p w14:paraId="05DC0737">
      <w:pPr>
        <w:pStyle w:val="15"/>
        <w:topLinePunct/>
        <w:spacing w:beforeAutospacing="0" w:afterAutospacing="0" w:line="560" w:lineRule="exact"/>
        <w:ind w:firstLine="648" w:firstLineChars="200"/>
        <w:jc w:val="both"/>
        <w:rPr>
          <w:rFonts w:ascii="黑体" w:hAnsi="黑体" w:eastAsia="黑体" w:cs="TimesNewRoman"/>
          <w:sz w:val="32"/>
          <w:szCs w:val="32"/>
        </w:rPr>
      </w:pPr>
      <w:r>
        <w:rPr>
          <w:rFonts w:ascii="黑体" w:hAnsi="黑体" w:eastAsia="黑体" w:cs="TimesNewRoman"/>
          <w:sz w:val="32"/>
          <w:szCs w:val="32"/>
        </w:rPr>
        <w:t xml:space="preserve">第一部分 </w:t>
      </w:r>
      <w:r>
        <w:rPr>
          <w:rFonts w:hint="eastAsia" w:ascii="黑体" w:hAnsi="黑体" w:eastAsia="黑体" w:cs="TimesNewRoman"/>
          <w:sz w:val="32"/>
          <w:szCs w:val="32"/>
        </w:rPr>
        <w:t>寿县众兴镇卫生院</w:t>
      </w:r>
      <w:r>
        <w:rPr>
          <w:rFonts w:ascii="黑体" w:hAnsi="黑体" w:eastAsia="黑体" w:cs="TimesNewRoman"/>
          <w:sz w:val="32"/>
          <w:szCs w:val="32"/>
        </w:rPr>
        <w:t>概况</w:t>
      </w:r>
    </w:p>
    <w:p w14:paraId="66BCA46E">
      <w:pPr>
        <w:pStyle w:val="15"/>
        <w:topLinePunct/>
        <w:spacing w:beforeAutospacing="0" w:afterAutospacing="0" w:line="560" w:lineRule="exact"/>
        <w:ind w:firstLine="648"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1.主要职责</w:t>
      </w:r>
    </w:p>
    <w:p w14:paraId="28B53263">
      <w:pPr>
        <w:pStyle w:val="15"/>
        <w:topLinePunct/>
        <w:spacing w:beforeAutospacing="0" w:afterAutospacing="0" w:line="560" w:lineRule="exact"/>
        <w:ind w:firstLine="648"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2.寿县众兴镇卫生院预算构成</w:t>
      </w:r>
    </w:p>
    <w:p w14:paraId="7194E56A">
      <w:pPr>
        <w:pStyle w:val="15"/>
        <w:topLinePunct/>
        <w:spacing w:beforeAutospacing="0" w:afterAutospacing="0" w:line="560" w:lineRule="exact"/>
        <w:ind w:firstLine="648"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3.2026年度主要工作任务</w:t>
      </w:r>
    </w:p>
    <w:p w14:paraId="15382369">
      <w:pPr>
        <w:pStyle w:val="15"/>
        <w:topLinePunct/>
        <w:spacing w:beforeAutospacing="0" w:afterAutospacing="0" w:line="560" w:lineRule="exact"/>
        <w:ind w:firstLine="648" w:firstLineChars="200"/>
        <w:jc w:val="both"/>
        <w:rPr>
          <w:rFonts w:ascii="黑体" w:hAnsi="黑体" w:eastAsia="黑体" w:cs="TimesNewRoman"/>
          <w:sz w:val="32"/>
          <w:szCs w:val="32"/>
        </w:rPr>
      </w:pPr>
      <w:r>
        <w:rPr>
          <w:rFonts w:ascii="黑体" w:hAnsi="黑体" w:eastAsia="黑体" w:cs="TimesNewRoman"/>
          <w:sz w:val="32"/>
          <w:szCs w:val="32"/>
        </w:rPr>
        <w:t>第</w:t>
      </w:r>
      <w:r>
        <w:rPr>
          <w:rFonts w:hint="eastAsia" w:ascii="黑体" w:hAnsi="黑体" w:eastAsia="黑体" w:cs="TimesNewRoman"/>
          <w:sz w:val="32"/>
          <w:szCs w:val="32"/>
        </w:rPr>
        <w:t>二</w:t>
      </w:r>
      <w:r>
        <w:rPr>
          <w:rFonts w:ascii="黑体" w:hAnsi="黑体" w:eastAsia="黑体" w:cs="TimesNewRoman"/>
          <w:sz w:val="32"/>
          <w:szCs w:val="32"/>
        </w:rPr>
        <w:t xml:space="preserve">部分 </w:t>
      </w:r>
      <w:r>
        <w:rPr>
          <w:rFonts w:hint="eastAsia" w:ascii="黑体" w:hAnsi="黑体" w:eastAsia="黑体" w:cs="TimesNewRoman"/>
          <w:sz w:val="32"/>
          <w:szCs w:val="32"/>
        </w:rPr>
        <w:t>2026</w:t>
      </w:r>
      <w:r>
        <w:rPr>
          <w:rFonts w:ascii="黑体" w:hAnsi="黑体" w:eastAsia="黑体" w:cs="TimesNewRoman"/>
          <w:sz w:val="32"/>
          <w:szCs w:val="32"/>
        </w:rPr>
        <w:t>年</w:t>
      </w:r>
      <w:r>
        <w:rPr>
          <w:rFonts w:hint="eastAsia" w:ascii="黑体" w:hAnsi="黑体" w:eastAsia="黑体" w:cs="TimesNewRoman"/>
          <w:sz w:val="32"/>
          <w:szCs w:val="32"/>
        </w:rPr>
        <w:t>寿县众兴镇</w:t>
      </w:r>
      <w:r>
        <w:rPr>
          <w:rFonts w:ascii="黑体" w:hAnsi="黑体" w:eastAsia="黑体" w:cs="TimesNewRoman"/>
          <w:sz w:val="32"/>
          <w:szCs w:val="32"/>
        </w:rPr>
        <w:t>预算情况说明</w:t>
      </w:r>
    </w:p>
    <w:p w14:paraId="5264E9B9">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年收支总表的说明</w:t>
      </w:r>
    </w:p>
    <w:p w14:paraId="5ED04B20">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年收入总表的说明</w:t>
      </w:r>
    </w:p>
    <w:p w14:paraId="028DF85C">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年支出总表的说明</w:t>
      </w:r>
    </w:p>
    <w:p w14:paraId="10DFF0C1">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年财政拨款收支总表的说明</w:t>
      </w:r>
    </w:p>
    <w:p w14:paraId="2DB21F6E">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年一般公共预算支出表的说明</w:t>
      </w:r>
    </w:p>
    <w:p w14:paraId="74DA3A3B">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年一般公共预算基本支出表的说明</w:t>
      </w:r>
    </w:p>
    <w:p w14:paraId="4968CB47">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年政府性基金预算支出表的说明</w:t>
      </w:r>
    </w:p>
    <w:p w14:paraId="76ADA5A5">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年国有资本经营预算支出表的说明</w:t>
      </w:r>
    </w:p>
    <w:p w14:paraId="0DC174AF">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年项目支出表的说明</w:t>
      </w:r>
    </w:p>
    <w:p w14:paraId="4708884F">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年政府采购支出表的说明</w:t>
      </w:r>
    </w:p>
    <w:p w14:paraId="5C2CBCB4">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11.关于</w:t>
      </w:r>
      <w:r>
        <w:rPr>
          <w:rFonts w:hint="eastAsia" w:ascii="仿宋_GB2312" w:hAnsi="TimesNewRoman" w:eastAsia="仿宋_GB2312" w:cs="TimesNewRoman"/>
          <w:bCs/>
          <w:sz w:val="32"/>
          <w:szCs w:val="32"/>
        </w:rPr>
        <w:t>2026</w:t>
      </w:r>
      <w:r>
        <w:rPr>
          <w:rFonts w:ascii="仿宋_GB2312" w:hAnsi="TimesNewRoman" w:eastAsia="仿宋_GB2312" w:cs="TimesNewRoman"/>
          <w:bCs/>
          <w:sz w:val="32"/>
          <w:szCs w:val="32"/>
        </w:rPr>
        <w:t>年政府购买服务支出表的说明</w:t>
      </w:r>
    </w:p>
    <w:p w14:paraId="6A4CDF94">
      <w:pPr>
        <w:pStyle w:val="15"/>
        <w:topLinePunct/>
        <w:spacing w:beforeAutospacing="0" w:afterAutospacing="0" w:line="560" w:lineRule="exact"/>
        <w:ind w:firstLine="648" w:firstLineChars="200"/>
        <w:jc w:val="both"/>
        <w:rPr>
          <w:rFonts w:ascii="仿宋_GB2312" w:hAnsi="TimesNewRoman" w:eastAsia="仿宋_GB2312" w:cs="TimesNewRoman"/>
          <w:bCs/>
          <w:sz w:val="32"/>
          <w:szCs w:val="32"/>
        </w:rPr>
      </w:pPr>
      <w:r>
        <w:rPr>
          <w:rFonts w:hint="eastAsia" w:ascii="仿宋_GB2312" w:hAnsi="TimesNewRoman" w:eastAsia="仿宋_GB2312" w:cs="TimesNewRoman"/>
          <w:bCs/>
          <w:sz w:val="32"/>
          <w:szCs w:val="32"/>
        </w:rPr>
        <w:t>12.关于2026年一般公共预算“三公”经费支出情况说明</w:t>
      </w:r>
    </w:p>
    <w:p w14:paraId="485DD30C">
      <w:pPr>
        <w:pStyle w:val="15"/>
        <w:topLinePunct/>
        <w:spacing w:beforeAutospacing="0" w:afterAutospacing="0" w:line="560" w:lineRule="exact"/>
        <w:ind w:firstLine="648" w:firstLineChars="200"/>
        <w:jc w:val="both"/>
        <w:rPr>
          <w:rFonts w:ascii="黑体" w:hAnsi="黑体" w:eastAsia="黑体" w:cs="TimesNewRoman"/>
          <w:sz w:val="32"/>
          <w:szCs w:val="32"/>
        </w:rPr>
      </w:pPr>
      <w:r>
        <w:rPr>
          <w:rFonts w:ascii="仿宋_GB2312" w:hAnsi="TimesNewRoman" w:eastAsia="仿宋_GB2312" w:cs="TimesNewRoman"/>
          <w:bCs/>
          <w:sz w:val="32"/>
          <w:szCs w:val="32"/>
        </w:rPr>
        <w:t>1</w:t>
      </w:r>
      <w:r>
        <w:rPr>
          <w:rFonts w:hint="eastAsia" w:ascii="仿宋_GB2312" w:hAnsi="TimesNewRoman" w:eastAsia="仿宋_GB2312" w:cs="TimesNewRoman"/>
          <w:bCs/>
          <w:sz w:val="32"/>
          <w:szCs w:val="32"/>
        </w:rPr>
        <w:t>3</w:t>
      </w:r>
      <w:r>
        <w:rPr>
          <w:rFonts w:ascii="仿宋_GB2312" w:hAnsi="TimesNewRoman" w:eastAsia="仿宋_GB2312" w:cs="TimesNewRoman"/>
          <w:bCs/>
          <w:sz w:val="32"/>
          <w:szCs w:val="32"/>
        </w:rPr>
        <w:t>.其他重要事项情况说明</w:t>
      </w:r>
    </w:p>
    <w:p w14:paraId="068C859C">
      <w:pPr>
        <w:pStyle w:val="15"/>
        <w:topLinePunct/>
        <w:spacing w:beforeAutospacing="0" w:afterAutospacing="0" w:line="560" w:lineRule="exact"/>
        <w:ind w:firstLine="648" w:firstLineChars="200"/>
        <w:jc w:val="both"/>
        <w:rPr>
          <w:rFonts w:ascii="黑体" w:hAnsi="黑体" w:eastAsia="黑体" w:cs="TimesNewRoman"/>
          <w:sz w:val="32"/>
          <w:szCs w:val="32"/>
        </w:rPr>
      </w:pPr>
      <w:r>
        <w:rPr>
          <w:rFonts w:ascii="黑体" w:hAnsi="黑体" w:eastAsia="黑体" w:cs="TimesNewRoman"/>
          <w:sz w:val="32"/>
          <w:szCs w:val="32"/>
        </w:rPr>
        <w:t>第</w:t>
      </w:r>
      <w:r>
        <w:rPr>
          <w:rFonts w:hint="eastAsia" w:ascii="黑体" w:hAnsi="黑体" w:eastAsia="黑体" w:cs="TimesNewRoman"/>
          <w:sz w:val="32"/>
          <w:szCs w:val="32"/>
        </w:rPr>
        <w:t>三</w:t>
      </w:r>
      <w:r>
        <w:rPr>
          <w:rFonts w:ascii="黑体" w:hAnsi="黑体" w:eastAsia="黑体" w:cs="TimesNewRoman"/>
          <w:sz w:val="32"/>
          <w:szCs w:val="32"/>
        </w:rPr>
        <w:t>部分 名词解释</w:t>
      </w:r>
    </w:p>
    <w:p w14:paraId="208308BE">
      <w:pPr>
        <w:pStyle w:val="15"/>
        <w:topLinePunct/>
        <w:spacing w:beforeAutospacing="0" w:afterAutospacing="0" w:line="560" w:lineRule="exact"/>
        <w:ind w:firstLine="648" w:firstLineChars="200"/>
        <w:jc w:val="both"/>
        <w:rPr>
          <w:rFonts w:ascii="TimesNewRoman" w:hAnsi="TimesNewRoman" w:eastAsia="仿宋_GB2312" w:cs="TimesNewRoman"/>
          <w:b/>
          <w:sz w:val="32"/>
          <w:szCs w:val="32"/>
        </w:rPr>
      </w:pPr>
    </w:p>
    <w:p w14:paraId="13475666">
      <w:pPr>
        <w:pStyle w:val="15"/>
        <w:topLinePunct/>
        <w:spacing w:beforeAutospacing="0" w:afterAutospacing="0" w:line="560" w:lineRule="exact"/>
        <w:ind w:firstLine="2548" w:firstLineChars="700"/>
        <w:jc w:val="both"/>
        <w:rPr>
          <w:rFonts w:ascii="TimesNewRoman" w:hAnsi="TimesNewRoman" w:eastAsia="黑体" w:cs="TimesNewRoman"/>
          <w:bCs/>
          <w:sz w:val="36"/>
          <w:szCs w:val="36"/>
        </w:rPr>
      </w:pPr>
    </w:p>
    <w:p w14:paraId="636BBD46">
      <w:pPr>
        <w:pStyle w:val="15"/>
        <w:topLinePunct/>
        <w:spacing w:beforeAutospacing="0" w:afterAutospacing="0" w:line="560" w:lineRule="exact"/>
        <w:ind w:firstLine="2548" w:firstLineChars="700"/>
        <w:jc w:val="both"/>
        <w:rPr>
          <w:rFonts w:ascii="TimesNewRoman" w:hAnsi="TimesNewRoman" w:eastAsia="黑体" w:cs="TimesNewRoman"/>
          <w:bCs/>
          <w:sz w:val="36"/>
          <w:szCs w:val="36"/>
        </w:rPr>
      </w:pPr>
      <w:r>
        <w:rPr>
          <w:rFonts w:ascii="TimesNewRoman" w:hAnsi="TimesNewRoman" w:eastAsia="黑体" w:cs="TimesNewRoman"/>
          <w:bCs/>
          <w:sz w:val="36"/>
          <w:szCs w:val="36"/>
        </w:rPr>
        <w:t xml:space="preserve">第一部分 </w:t>
      </w:r>
      <w:r>
        <w:rPr>
          <w:rFonts w:hint="eastAsia" w:ascii="TimesNewRoman" w:hAnsi="TimesNewRoman" w:eastAsia="黑体" w:cs="TimesNewRoman"/>
          <w:bCs/>
          <w:sz w:val="36"/>
          <w:szCs w:val="36"/>
        </w:rPr>
        <w:t>寿县众兴镇卫生院</w:t>
      </w:r>
      <w:r>
        <w:rPr>
          <w:rFonts w:ascii="TimesNewRoman" w:hAnsi="TimesNewRoman" w:eastAsia="黑体" w:cs="TimesNewRoman"/>
          <w:bCs/>
          <w:sz w:val="36"/>
          <w:szCs w:val="36"/>
        </w:rPr>
        <w:t>概况</w:t>
      </w:r>
    </w:p>
    <w:p w14:paraId="07F3864A">
      <w:pPr>
        <w:pStyle w:val="15"/>
        <w:topLinePunct/>
        <w:spacing w:beforeAutospacing="0" w:afterAutospacing="0" w:line="560" w:lineRule="exact"/>
        <w:ind w:firstLine="634" w:firstLineChars="196"/>
        <w:jc w:val="both"/>
        <w:rPr>
          <w:rFonts w:ascii="TimesNewRoman" w:hAnsi="TimesNewRoman" w:eastAsia="黑体" w:cs="TimesNewRoman"/>
          <w:bCs/>
          <w:sz w:val="32"/>
          <w:szCs w:val="32"/>
        </w:rPr>
      </w:pPr>
    </w:p>
    <w:p w14:paraId="7E9E9881">
      <w:pPr>
        <w:pStyle w:val="15"/>
        <w:topLinePunct/>
        <w:spacing w:beforeAutospacing="0" w:afterAutospacing="0" w:line="580" w:lineRule="exact"/>
        <w:ind w:firstLine="648"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一、主要职责</w:t>
      </w:r>
    </w:p>
    <w:p w14:paraId="421F9D22">
      <w:pPr>
        <w:snapToGrid/>
        <w:spacing w:after="150" w:line="450" w:lineRule="auto"/>
        <w:ind w:firstLine="420"/>
        <w:jc w:val="both"/>
      </w:pPr>
      <w:r>
        <w:rPr>
          <w:rFonts w:ascii="仿宋_GB2312" w:hAnsi="仿宋_GB2312" w:eastAsia="仿宋_GB2312" w:cs="仿宋_GB2312"/>
          <w:i w:val="0"/>
          <w:strike w:val="0"/>
          <w:color w:val="000000"/>
          <w:sz w:val="32"/>
          <w:u w:val="none"/>
        </w:rPr>
        <w:t>(一)根据寿县机构编制委员会《关于下达寿县乡镇卫生院机构编制方案的通知》(寿编〔2010〕27号)文件规定，主要职责是:为人民身体健康提供医疗保健服务。常见病多发病诊治与护理、卫生防疫、妇幼保健、计划免疫、乡村医生业务培训、卫生员业务培训、接生员业务培训与技术指导、初级卫生保健规划实施。</w:t>
      </w:r>
    </w:p>
    <w:p w14:paraId="266CA41F">
      <w:pPr>
        <w:snapToGrid/>
        <w:spacing w:line="600" w:lineRule="exact"/>
      </w:pPr>
      <w:r>
        <w:rPr>
          <w:rFonts w:ascii="仿宋_GB2312" w:hAnsi="仿宋_GB2312" w:eastAsia="仿宋_GB2312" w:cs="仿宋_GB2312"/>
          <w:i w:val="0"/>
          <w:strike w:val="0"/>
          <w:color w:val="000000"/>
          <w:sz w:val="32"/>
          <w:u w:val="none"/>
        </w:rPr>
        <w:t>   （二）卫生行政管理</w:t>
      </w:r>
    </w:p>
    <w:p w14:paraId="212A3F3D">
      <w:pPr>
        <w:snapToGrid/>
        <w:spacing w:line="600" w:lineRule="exact"/>
        <w:ind w:firstLine="648" w:firstLineChars="200"/>
      </w:pPr>
      <w:r>
        <w:rPr>
          <w:rFonts w:ascii="仿宋_GB2312" w:hAnsi="仿宋_GB2312" w:eastAsia="仿宋_GB2312" w:cs="仿宋_GB2312"/>
          <w:i w:val="0"/>
          <w:strike w:val="0"/>
          <w:color w:val="000000"/>
          <w:sz w:val="32"/>
          <w:u w:val="none"/>
        </w:rPr>
        <w:t>1、在当地政府和上级卫生行政部门领导下，依据当地社会经济发展规划，协助制定和实施社区的初级卫生规划。</w:t>
      </w:r>
    </w:p>
    <w:p w14:paraId="2AA925AD">
      <w:pPr>
        <w:snapToGrid/>
        <w:spacing w:line="600" w:lineRule="exact"/>
        <w:ind w:firstLine="648" w:firstLineChars="200"/>
      </w:pPr>
      <w:r>
        <w:rPr>
          <w:rFonts w:ascii="仿宋_GB2312" w:hAnsi="仿宋_GB2312" w:eastAsia="仿宋_GB2312" w:cs="仿宋_GB2312"/>
          <w:i w:val="0"/>
          <w:strike w:val="0"/>
          <w:color w:val="000000"/>
          <w:sz w:val="32"/>
          <w:u w:val="none"/>
        </w:rPr>
        <w:t>2、配合有关部门动员组织群众开展爱国卫生活动，逐步改善本镇卫生状况。</w:t>
      </w:r>
    </w:p>
    <w:p w14:paraId="161403DF">
      <w:pPr>
        <w:snapToGrid/>
        <w:spacing w:line="600" w:lineRule="exact"/>
        <w:ind w:firstLine="648" w:firstLineChars="200"/>
      </w:pPr>
      <w:r>
        <w:rPr>
          <w:rFonts w:ascii="仿宋_GB2312" w:hAnsi="仿宋_GB2312" w:eastAsia="仿宋_GB2312" w:cs="仿宋_GB2312"/>
          <w:i w:val="0"/>
          <w:strike w:val="0"/>
          <w:color w:val="000000"/>
          <w:sz w:val="32"/>
          <w:u w:val="none"/>
        </w:rPr>
        <w:t>3、贯彻执行国家各种卫生法规，对本镇内有关行业实行监督管理。</w:t>
      </w:r>
    </w:p>
    <w:p w14:paraId="6C4EF52F">
      <w:pPr>
        <w:snapToGrid/>
        <w:spacing w:line="600" w:lineRule="exact"/>
        <w:ind w:firstLine="648" w:firstLineChars="200"/>
      </w:pPr>
      <w:r>
        <w:rPr>
          <w:rFonts w:ascii="仿宋_GB2312" w:hAnsi="仿宋_GB2312" w:eastAsia="仿宋_GB2312" w:cs="仿宋_GB2312"/>
          <w:i w:val="0"/>
          <w:strike w:val="0"/>
          <w:color w:val="000000"/>
          <w:sz w:val="32"/>
          <w:u w:val="none"/>
        </w:rPr>
        <w:t>4、负责本镇内村级卫生室的管理和培训工作。</w:t>
      </w:r>
    </w:p>
    <w:p w14:paraId="66AE0E33">
      <w:pPr>
        <w:pStyle w:val="15"/>
        <w:pBdr>
          <w:bottom w:val="none" w:color="auto" w:sz="0" w:space="0"/>
        </w:pBdr>
        <w:topLinePunct/>
        <w:spacing w:beforeAutospacing="0" w:afterAutospacing="0" w:line="580" w:lineRule="exact"/>
        <w:ind w:firstLine="648" w:firstLineChars="200"/>
        <w:jc w:val="both"/>
        <w:rPr>
          <w:rFonts w:ascii="楷体_GB2312" w:hAnsi="TimesNewRoman" w:eastAsia="楷体_GB2312" w:cs="TimesNewRoman"/>
          <w:b/>
          <w:bCs/>
          <w:sz w:val="32"/>
          <w:szCs w:val="32"/>
        </w:rPr>
      </w:pPr>
      <w:r>
        <w:rPr>
          <w:rFonts w:hint="eastAsia" w:ascii="楷体_GB2312" w:hAnsi="TimesNewRoman" w:eastAsia="楷体_GB2312" w:cs="TimesNewRoman"/>
          <w:b/>
          <w:bCs/>
          <w:sz w:val="32"/>
          <w:szCs w:val="32"/>
        </w:rPr>
        <w:t>二、寿县众兴镇卫生院</w:t>
      </w:r>
      <w:r>
        <w:rPr>
          <w:rFonts w:ascii="楷体_GB2312" w:hAnsi="TimesNewRoman" w:eastAsia="楷体_GB2312" w:cs="TimesNewRoman"/>
          <w:b/>
          <w:bCs/>
          <w:sz w:val="32"/>
          <w:szCs w:val="32"/>
        </w:rPr>
        <w:t>预算构成</w:t>
      </w:r>
    </w:p>
    <w:p w14:paraId="433AD9A0">
      <w:pPr>
        <w:pStyle w:val="15"/>
        <w:topLinePunct/>
        <w:spacing w:beforeAutospacing="0" w:afterAutospacing="0" w:line="580" w:lineRule="exact"/>
        <w:ind w:firstLine="648" w:firstLineChars="200"/>
        <w:jc w:val="both"/>
        <w:rPr>
          <w:rFonts w:hint="eastAsia" w:ascii="楷体_GB2312" w:hAnsi="TimesNewRoman" w:eastAsia="楷体_GB2312" w:cs="TimesNewRoman"/>
          <w:b/>
          <w:bCs/>
          <w:sz w:val="32"/>
          <w:szCs w:val="32"/>
        </w:rPr>
      </w:pPr>
      <w:r>
        <w:rPr>
          <w:rFonts w:hint="eastAsia" w:ascii="仿宋_GB2312" w:hAnsi="TimesNewRoman" w:eastAsia="仿宋_GB2312" w:cs="TimesNewRoman"/>
          <w:bCs/>
          <w:sz w:val="32"/>
          <w:szCs w:val="32"/>
        </w:rPr>
        <w:t>寿县众兴镇卫生院2026年度单位预算仅包括单位本级预算，无其他下属单位预算。</w:t>
      </w:r>
    </w:p>
    <w:p w14:paraId="2094415F">
      <w:pPr>
        <w:pStyle w:val="15"/>
        <w:topLinePunct/>
        <w:spacing w:beforeAutospacing="0" w:afterAutospacing="0" w:line="580" w:lineRule="exact"/>
        <w:ind w:firstLine="648" w:firstLineChars="200"/>
        <w:jc w:val="both"/>
        <w:rPr>
          <w:rFonts w:ascii="TimesNewRoman" w:hAnsi="TimesNewRoman" w:eastAsia="仿宋_GB2312" w:cs="TimesNewRoman"/>
          <w:bCs/>
          <w:sz w:val="32"/>
          <w:szCs w:val="32"/>
        </w:rPr>
      </w:pPr>
      <w:r>
        <w:rPr>
          <w:rFonts w:hint="eastAsia" w:ascii="楷体_GB2312" w:hAnsi="TimesNewRoman" w:eastAsia="楷体_GB2312" w:cs="TimesNewRoman"/>
          <w:b/>
          <w:bCs/>
          <w:sz w:val="32"/>
          <w:szCs w:val="32"/>
        </w:rPr>
        <w:t>三、2026年度主要工作任务</w:t>
      </w:r>
    </w:p>
    <w:p w14:paraId="096991DB">
      <w:pPr>
        <w:snapToGrid/>
        <w:spacing w:line="580" w:lineRule="auto"/>
        <w:ind w:firstLine="640"/>
        <w:jc w:val="both"/>
      </w:pPr>
      <w:r>
        <w:rPr>
          <w:rFonts w:ascii="仿宋_GB2312" w:hAnsi="仿宋_GB2312" w:eastAsia="仿宋_GB2312" w:cs="仿宋_GB2312"/>
          <w:i w:val="0"/>
          <w:strike w:val="0"/>
          <w:color w:val="000000"/>
          <w:sz w:val="32"/>
          <w:u w:val="none"/>
        </w:rPr>
        <w:t>（一）加强医护质量管理，保障医疗安全,提供基本医疗服务，开展常见病多发病的诊治与护理;</w:t>
      </w:r>
    </w:p>
    <w:p w14:paraId="04EA2F68">
      <w:pPr>
        <w:snapToGrid/>
        <w:spacing w:line="580" w:lineRule="auto"/>
        <w:ind w:firstLine="640"/>
        <w:jc w:val="both"/>
      </w:pPr>
      <w:r>
        <w:rPr>
          <w:rFonts w:ascii="仿宋_GB2312" w:hAnsi="仿宋_GB2312" w:eastAsia="仿宋_GB2312" w:cs="仿宋_GB2312"/>
          <w:i w:val="0"/>
          <w:strike w:val="0"/>
          <w:color w:val="000000"/>
          <w:sz w:val="32"/>
          <w:u w:val="none"/>
        </w:rPr>
        <w:t>（二）着力做好重大疾病预防控制工作,继续稳步推进国家基本公共卫生服务;</w:t>
      </w:r>
    </w:p>
    <w:p w14:paraId="74B8BFD5">
      <w:pPr>
        <w:snapToGrid/>
        <w:spacing w:line="580" w:lineRule="auto"/>
        <w:ind w:firstLine="648" w:firstLineChars="200"/>
        <w:jc w:val="both"/>
      </w:pPr>
      <w:r>
        <w:rPr>
          <w:rFonts w:ascii="仿宋_GB2312" w:hAnsi="仿宋_GB2312" w:eastAsia="仿宋_GB2312" w:cs="仿宋_GB2312"/>
          <w:i w:val="0"/>
          <w:strike w:val="0"/>
          <w:color w:val="000000"/>
          <w:sz w:val="32"/>
          <w:u w:val="none"/>
        </w:rPr>
        <w:t>（三）做好医保结算工作；</w:t>
      </w:r>
    </w:p>
    <w:p w14:paraId="5BA1427B">
      <w:pPr>
        <w:snapToGrid/>
        <w:spacing w:line="580" w:lineRule="auto"/>
        <w:ind w:firstLine="640"/>
        <w:jc w:val="both"/>
      </w:pPr>
      <w:r>
        <w:rPr>
          <w:rFonts w:ascii="仿宋_GB2312" w:hAnsi="仿宋_GB2312" w:eastAsia="仿宋_GB2312" w:cs="仿宋_GB2312"/>
          <w:i w:val="0"/>
          <w:strike w:val="0"/>
          <w:color w:val="000000"/>
          <w:sz w:val="32"/>
          <w:u w:val="none"/>
        </w:rPr>
        <w:t>（四）加强党风及行风建设工作；</w:t>
      </w:r>
    </w:p>
    <w:p w14:paraId="38367AD7">
      <w:pPr>
        <w:numPr>
          <w:ilvl w:val="0"/>
          <w:numId w:val="0"/>
        </w:numPr>
        <w:snapToGrid/>
        <w:spacing w:line="580" w:lineRule="auto"/>
        <w:ind w:firstLine="648" w:firstLineChars="200"/>
        <w:jc w:val="both"/>
        <w:rPr>
          <w:rFonts w:ascii="仿宋_GB2312" w:hAnsi="仿宋_GB2312" w:eastAsia="仿宋_GB2312" w:cs="仿宋_GB2312"/>
          <w:i w:val="0"/>
          <w:strike w:val="0"/>
          <w:color w:val="000000"/>
          <w:sz w:val="32"/>
          <w:u w:val="none"/>
        </w:rPr>
      </w:pPr>
      <w:r>
        <w:rPr>
          <w:rFonts w:hint="eastAsia" w:ascii="仿宋_GB2312" w:hAnsi="仿宋_GB2312" w:eastAsia="仿宋_GB2312" w:cs="仿宋_GB2312"/>
          <w:i w:val="0"/>
          <w:strike w:val="0"/>
          <w:color w:val="000000"/>
          <w:sz w:val="32"/>
          <w:u w:val="none"/>
          <w:lang w:eastAsia="zh-CN"/>
        </w:rPr>
        <w:t>（</w:t>
      </w:r>
      <w:r>
        <w:rPr>
          <w:rFonts w:hint="eastAsia" w:ascii="仿宋_GB2312" w:hAnsi="仿宋_GB2312" w:eastAsia="仿宋_GB2312" w:cs="仿宋_GB2312"/>
          <w:i w:val="0"/>
          <w:strike w:val="0"/>
          <w:color w:val="000000"/>
          <w:sz w:val="32"/>
          <w:u w:val="none"/>
          <w:lang w:val="en-US" w:eastAsia="zh-CN"/>
        </w:rPr>
        <w:t>五）</w:t>
      </w:r>
      <w:r>
        <w:rPr>
          <w:rFonts w:ascii="仿宋_GB2312" w:hAnsi="仿宋_GB2312" w:eastAsia="仿宋_GB2312" w:cs="仿宋_GB2312"/>
          <w:i w:val="0"/>
          <w:strike w:val="0"/>
          <w:color w:val="000000"/>
          <w:sz w:val="32"/>
          <w:u w:val="none"/>
        </w:rPr>
        <w:t>加强财务管理工作；</w:t>
      </w:r>
    </w:p>
    <w:p w14:paraId="1E03C251">
      <w:pPr>
        <w:numPr>
          <w:ilvl w:val="0"/>
          <w:numId w:val="0"/>
        </w:numPr>
        <w:pBdr>
          <w:bottom w:val="none" w:color="auto" w:sz="0" w:space="0"/>
        </w:pBdr>
        <w:snapToGrid/>
        <w:spacing w:line="580" w:lineRule="auto"/>
        <w:ind w:firstLine="648" w:firstLineChars="200"/>
        <w:jc w:val="both"/>
        <w:rPr>
          <w:rFonts w:hint="eastAsia" w:ascii="仿宋_GB2312" w:hAnsi="TimesNewRoman" w:eastAsia="仿宋_GB2312" w:cs="TimesNewRoman"/>
          <w:bCs/>
          <w:sz w:val="32"/>
          <w:szCs w:val="32"/>
        </w:rPr>
      </w:pPr>
      <w:r>
        <w:rPr>
          <w:rFonts w:hint="eastAsia" w:ascii="仿宋_GB2312" w:hAnsi="仿宋_GB2312" w:eastAsia="仿宋_GB2312" w:cs="仿宋_GB2312"/>
          <w:i w:val="0"/>
          <w:strike w:val="0"/>
          <w:color w:val="000000"/>
          <w:sz w:val="32"/>
          <w:u w:val="none"/>
          <w:lang w:eastAsia="zh-CN"/>
        </w:rPr>
        <w:t>（</w:t>
      </w:r>
      <w:r>
        <w:rPr>
          <w:rFonts w:hint="eastAsia" w:ascii="仿宋_GB2312" w:hAnsi="仿宋_GB2312" w:eastAsia="仿宋_GB2312" w:cs="仿宋_GB2312"/>
          <w:i w:val="0"/>
          <w:strike w:val="0"/>
          <w:color w:val="000000"/>
          <w:sz w:val="32"/>
          <w:u w:val="none"/>
          <w:lang w:val="en-US" w:eastAsia="zh-CN"/>
        </w:rPr>
        <w:t>六）</w:t>
      </w:r>
      <w:r>
        <w:rPr>
          <w:rFonts w:ascii="仿宋_GB2312" w:hAnsi="仿宋_GB2312" w:eastAsia="仿宋_GB2312" w:cs="仿宋_GB2312"/>
          <w:i w:val="0"/>
          <w:strike w:val="0"/>
          <w:color w:val="000000"/>
          <w:sz w:val="32"/>
          <w:u w:val="none"/>
        </w:rPr>
        <w:t>全面统筹抓好其他工作。</w:t>
      </w:r>
    </w:p>
    <w:p w14:paraId="672891AF">
      <w:pPr>
        <w:pStyle w:val="15"/>
        <w:topLinePunct/>
        <w:spacing w:beforeAutospacing="0" w:afterAutospacing="0" w:line="580" w:lineRule="exact"/>
        <w:ind w:firstLine="648" w:firstLineChars="200"/>
        <w:jc w:val="both"/>
        <w:rPr>
          <w:rFonts w:hint="eastAsia" w:ascii="TimesNewRoman" w:hAnsi="TimesNewRoman" w:eastAsia="仿宋_GB2312" w:cs="TimesNewRoman"/>
          <w:bCs/>
          <w:sz w:val="32"/>
          <w:szCs w:val="32"/>
        </w:rPr>
        <w:sectPr>
          <w:footerReference r:id="rId3" w:type="default"/>
          <w:footerReference r:id="rId4" w:type="even"/>
          <w:pgSz w:w="11907" w:h="16840"/>
          <w:pgMar w:top="1803" w:right="1440" w:bottom="1803" w:left="1440" w:header="851" w:footer="1020" w:gutter="0"/>
          <w:cols w:space="720" w:num="1"/>
          <w:docGrid w:type="linesAndChars" w:linePitch="312" w:charSpace="1009"/>
        </w:sectPr>
      </w:pPr>
    </w:p>
    <w:p w14:paraId="6F0FA7B2">
      <w:pPr>
        <w:pStyle w:val="15"/>
        <w:topLinePunct/>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第</w:t>
      </w:r>
      <w:r>
        <w:rPr>
          <w:rFonts w:hint="eastAsia" w:ascii="TimesNewRoman" w:hAnsi="TimesNewRoman" w:eastAsia="黑体" w:cs="TimesNewRoman"/>
          <w:bCs/>
          <w:sz w:val="36"/>
          <w:szCs w:val="36"/>
        </w:rPr>
        <w:t>二</w:t>
      </w:r>
      <w:r>
        <w:rPr>
          <w:rFonts w:ascii="TimesNewRoman" w:hAnsi="TimesNewRoman" w:eastAsia="黑体" w:cs="TimesNewRoman"/>
          <w:bCs/>
          <w:sz w:val="36"/>
          <w:szCs w:val="36"/>
        </w:rPr>
        <w:t xml:space="preserve">部分 </w:t>
      </w:r>
      <w:r>
        <w:rPr>
          <w:rFonts w:hint="eastAsia" w:ascii="TimesNewRoman" w:hAnsi="TimesNewRoman" w:eastAsia="黑体" w:cs="TimesNewRoman"/>
          <w:bCs/>
          <w:sz w:val="36"/>
          <w:szCs w:val="36"/>
        </w:rPr>
        <w:t>2026</w:t>
      </w:r>
      <w:r>
        <w:rPr>
          <w:rFonts w:ascii="TimesNewRoman" w:hAnsi="TimesNewRoman" w:eastAsia="黑体" w:cs="TimesNewRoman"/>
          <w:bCs/>
          <w:sz w:val="36"/>
          <w:szCs w:val="36"/>
        </w:rPr>
        <w:t>年</w:t>
      </w:r>
      <w:r>
        <w:rPr>
          <w:rFonts w:hint="eastAsia" w:ascii="TimesNewRoman" w:hAnsi="TimesNewRoman" w:eastAsia="黑体" w:cs="TimesNewRoman"/>
          <w:bCs/>
          <w:sz w:val="36"/>
          <w:szCs w:val="36"/>
        </w:rPr>
        <w:t>寿县众兴镇卫生院</w:t>
      </w:r>
      <w:r>
        <w:rPr>
          <w:rFonts w:ascii="TimesNewRoman" w:hAnsi="TimesNewRoman" w:eastAsia="黑体" w:cs="TimesNewRoman"/>
          <w:bCs/>
          <w:sz w:val="36"/>
          <w:szCs w:val="36"/>
        </w:rPr>
        <w:t>预算情况说明</w:t>
      </w:r>
    </w:p>
    <w:p w14:paraId="4C034DE3">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p>
    <w:p w14:paraId="2DFD8232">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一、关于2026年收支总表的说明</w:t>
      </w:r>
    </w:p>
    <w:p w14:paraId="49319853">
      <w:pPr>
        <w:pStyle w:val="15"/>
        <w:topLinePunct/>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按照综合预算的原则，寿县众兴镇卫生院所有收入和支出均纳入部门预算管理。寿县众兴镇卫生院2026年收支总预算762.3万元，收入包括一般公共预算拨款收入、事业收入，支出包括：社会保障和就业支出、卫生健康支出、住房保障支出。</w:t>
      </w:r>
    </w:p>
    <w:p w14:paraId="2E61DA4A">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二、关于2026年收入总表的说明</w:t>
      </w:r>
    </w:p>
    <w:p w14:paraId="648A0BE4">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rPr>
        <w:t>寿县众兴镇卫生院</w:t>
      </w:r>
      <w:r>
        <w:rPr>
          <w:rFonts w:hint="eastAsia" w:ascii="仿宋_GB2312" w:hAnsi="TimesNewRoman" w:eastAsia="仿宋_GB2312" w:cs="TimesNewRoman"/>
          <w:sz w:val="32"/>
          <w:szCs w:val="32"/>
        </w:rPr>
        <w:t>2026年收入预算762.3万元，其中，本年收入762.3万元，上年结转收入0万元。</w:t>
      </w:r>
    </w:p>
    <w:p w14:paraId="318A86BB">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（一）本年收入762.3万元，主要包括：一般公共预算拨款收入262.3万元，占34.4%，比2025年预算增加</w:t>
      </w:r>
      <w:r>
        <w:rPr>
          <w:rFonts w:hint="eastAsia" w:ascii="仿宋_GB2312" w:hAnsi="TimesNewRoman" w:eastAsia="仿宋_GB2312" w:cs="TimesNewRoman"/>
          <w:sz w:val="32"/>
          <w:szCs w:val="32"/>
          <w:lang w:val="en-US" w:eastAsia="zh-CN"/>
        </w:rPr>
        <w:t>27</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11.47</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lang w:val="en-US" w:eastAsia="zh-CN"/>
        </w:rPr>
        <w:t>人员工资调标增长</w:t>
      </w:r>
      <w:r>
        <w:rPr>
          <w:rFonts w:hint="eastAsia" w:ascii="仿宋_GB2312" w:hAnsi="TimesNewRoman" w:eastAsia="仿宋_GB2312" w:cs="TimesNewRoman"/>
          <w:sz w:val="32"/>
          <w:szCs w:val="32"/>
        </w:rPr>
        <w:t>；单位资金收入500万元，占65.6%，比2025年预算增加</w:t>
      </w:r>
      <w:r>
        <w:rPr>
          <w:rFonts w:hint="eastAsia" w:ascii="仿宋_GB2312" w:hAnsi="TimesNewRoman" w:eastAsia="仿宋_GB2312" w:cs="TimesNewRoman"/>
          <w:sz w:val="32"/>
          <w:szCs w:val="32"/>
          <w:lang w:val="en-US" w:eastAsia="zh-CN"/>
        </w:rPr>
        <w:t>40</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8.7</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lang w:val="en-US" w:eastAsia="zh-CN"/>
        </w:rPr>
        <w:t>新增加两病一体化项目，该项目有经费收入</w:t>
      </w:r>
      <w:r>
        <w:rPr>
          <w:rFonts w:hint="eastAsia" w:ascii="仿宋_GB2312" w:hAnsi="TimesNewRoman" w:eastAsia="仿宋_GB2312" w:cs="TimesNewRoman"/>
          <w:sz w:val="32"/>
          <w:szCs w:val="32"/>
        </w:rPr>
        <w:t>。</w:t>
      </w:r>
    </w:p>
    <w:p w14:paraId="073AE77C">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三、关于2026年支出总表的说明</w:t>
      </w:r>
    </w:p>
    <w:p w14:paraId="3A553AF1">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寿县众兴镇卫生院2026年支出预算762.3万元，比2025年预算增加</w:t>
      </w:r>
      <w:r>
        <w:rPr>
          <w:rFonts w:hint="eastAsia" w:ascii="仿宋_GB2312" w:hAnsi="TimesNewRoman" w:eastAsia="仿宋_GB2312" w:cs="TimesNewRoman"/>
          <w:sz w:val="32"/>
          <w:szCs w:val="32"/>
          <w:lang w:val="en-US" w:eastAsia="zh-CN"/>
        </w:rPr>
        <w:t>67</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9.63</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lang w:val="en-US" w:eastAsia="zh-CN"/>
        </w:rPr>
        <w:t>新增加两病一体化项目，该项目有大额支出</w:t>
      </w:r>
      <w:r>
        <w:rPr>
          <w:rFonts w:hint="eastAsia" w:ascii="仿宋_GB2312" w:hAnsi="TimesNewRoman" w:eastAsia="仿宋_GB2312" w:cs="TimesNewRoman"/>
          <w:sz w:val="32"/>
          <w:szCs w:val="32"/>
        </w:rPr>
        <w:t>。其中，基本支出256.86万元，占33.7%，主要用于保障机构日常运转、完成日常工作任务</w:t>
      </w:r>
      <w:r>
        <w:rPr>
          <w:rFonts w:hint="eastAsia" w:ascii="仿宋_GB2312" w:hAnsi="TimesNewRoman" w:eastAsia="仿宋_GB2312" w:cs="TimesNewRoman"/>
          <w:sz w:val="32"/>
          <w:szCs w:val="32"/>
          <w:lang w:eastAsia="zh-CN"/>
        </w:rPr>
        <w:t>、</w:t>
      </w:r>
      <w:r>
        <w:rPr>
          <w:rFonts w:hint="eastAsia" w:ascii="仿宋_GB2312" w:hAnsi="仿宋" w:eastAsia="仿宋_GB2312"/>
          <w:sz w:val="32"/>
          <w:szCs w:val="32"/>
        </w:rPr>
        <w:t>人员工资福利</w:t>
      </w:r>
      <w:r>
        <w:rPr>
          <w:rFonts w:hint="eastAsia" w:ascii="仿宋_GB2312" w:hAnsi="TimesNewRoman" w:eastAsia="仿宋_GB2312" w:cs="TimesNewRoman"/>
          <w:sz w:val="32"/>
          <w:szCs w:val="32"/>
        </w:rPr>
        <w:t>；项目支出505.44万元，占66.3%，主要用于</w:t>
      </w:r>
      <w:r>
        <w:rPr>
          <w:rFonts w:hint="eastAsia" w:ascii="仿宋_GB2312" w:hAnsi="仿宋" w:eastAsia="仿宋_GB2312"/>
          <w:sz w:val="32"/>
          <w:szCs w:val="32"/>
        </w:rPr>
        <w:t>三年过渡安置人员补助</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乡镇卫生院医疗卫生支出。</w:t>
      </w:r>
    </w:p>
    <w:p w14:paraId="620A0A78">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四、关于2026年财政拨款收支总表的说明</w:t>
      </w:r>
    </w:p>
    <w:p w14:paraId="0F9C7680">
      <w:pPr>
        <w:pStyle w:val="15"/>
        <w:topLinePunct/>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众兴镇卫生院2026年财政拨款收支预算262.3万元。收入按资金来源分为：一般公共预算拨款262.3万元；按资金年度分为：本年财政拨款收入262.3万元。支出按功能分类分为：社会保障和就业支出33.49万元，占12.76%；卫生健康支出200.73万元，占76.52%；住房保障支出28.08万元，占10.72%。</w:t>
      </w:r>
    </w:p>
    <w:p w14:paraId="4CAF559B">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五、关于2026年一般公共预算支出表的说明</w:t>
      </w:r>
    </w:p>
    <w:p w14:paraId="15E40854">
      <w:pPr>
        <w:pStyle w:val="15"/>
        <w:topLinePunct/>
        <w:spacing w:beforeAutospacing="0" w:afterAutospacing="0" w:line="580" w:lineRule="exact"/>
        <w:ind w:firstLine="627"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（一）一般公共预算支出规模变化情况。</w:t>
      </w:r>
    </w:p>
    <w:p w14:paraId="57419B8C">
      <w:pPr>
        <w:pStyle w:val="15"/>
        <w:topLinePunct/>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寿县众兴镇卫生院2026年一般公共预算支出262.3万元，比2025年预算增加</w:t>
      </w:r>
      <w:r>
        <w:rPr>
          <w:rFonts w:hint="eastAsia" w:ascii="仿宋_GB2312" w:hAnsi="TimesNewRoman" w:eastAsia="仿宋_GB2312" w:cs="TimesNewRoman"/>
          <w:sz w:val="32"/>
          <w:szCs w:val="32"/>
          <w:lang w:val="en-US" w:eastAsia="zh-CN"/>
        </w:rPr>
        <w:t>27</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11.47</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lang w:val="en-US" w:eastAsia="zh-CN"/>
        </w:rPr>
        <w:t>人员工资调标增长</w:t>
      </w:r>
      <w:r>
        <w:rPr>
          <w:rFonts w:hint="eastAsia" w:ascii="仿宋_GB2312" w:hAnsi="TimesNewRoman" w:eastAsia="仿宋_GB2312" w:cs="TimesNewRoman"/>
          <w:sz w:val="32"/>
          <w:szCs w:val="32"/>
        </w:rPr>
        <w:t>。</w:t>
      </w:r>
    </w:p>
    <w:p w14:paraId="4ACD2BC3">
      <w:pPr>
        <w:pStyle w:val="15"/>
        <w:topLinePunct/>
        <w:spacing w:beforeAutospacing="0" w:afterAutospacing="0" w:line="580" w:lineRule="exact"/>
        <w:ind w:firstLine="627"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（二）一般公共预算支出结构情况。</w:t>
      </w:r>
    </w:p>
    <w:p w14:paraId="4E931FC7">
      <w:pPr>
        <w:pStyle w:val="15"/>
        <w:topLinePunct/>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社会保障和就业支出33.49万元，占12.76%；卫生健康支出200.73万元，占76.52%；住房保障支出28.08万元，占10.72%。</w:t>
      </w:r>
    </w:p>
    <w:p w14:paraId="34BC7C15">
      <w:pPr>
        <w:topLinePunct/>
        <w:spacing w:line="580" w:lineRule="exact"/>
        <w:ind w:firstLine="640"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（三）一般公共预算支出具体使用情况。</w:t>
      </w:r>
    </w:p>
    <w:p w14:paraId="52D9FF91">
      <w:pPr>
        <w:topLinePunct/>
        <w:spacing w:line="580" w:lineRule="exact"/>
        <w:ind w:left="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 xml:space="preserve">     1.社会保障和就业支出（类）行政事业单位养老（款）机关事业单位基本养老保险缴费支出（项）</w:t>
      </w:r>
      <w:r>
        <w:rPr>
          <w:rFonts w:hint="eastAsia" w:ascii="仿宋_GB2312" w:hAnsi="TimesNewRoman" w:eastAsia="仿宋_GB2312" w:cs="TimesNewRoman"/>
          <w:sz w:val="32"/>
          <w:szCs w:val="32"/>
        </w:rPr>
        <w:t>2026年预算21.69万元，比2025年预算增加</w:t>
      </w:r>
      <w:r>
        <w:rPr>
          <w:rFonts w:hint="eastAsia" w:ascii="仿宋_GB2312" w:hAnsi="TimesNewRoman" w:eastAsia="仿宋_GB2312" w:cs="TimesNewRoman"/>
          <w:sz w:val="32"/>
          <w:szCs w:val="32"/>
          <w:lang w:val="en-US" w:eastAsia="zh-CN"/>
        </w:rPr>
        <w:t>1.49</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7.37</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:人员工资调标，工资增长，社保基数增长</w:t>
      </w:r>
      <w:r>
        <w:rPr>
          <w:rFonts w:hint="eastAsia" w:ascii="仿宋_GB2312" w:hAnsi="TimesNewRoman" w:eastAsia="仿宋_GB2312" w:cs="TimesNewRoman"/>
          <w:sz w:val="32"/>
          <w:szCs w:val="32"/>
        </w:rPr>
        <w:t>。</w:t>
      </w:r>
    </w:p>
    <w:p w14:paraId="37FCF392">
      <w:pPr>
        <w:topLinePunct/>
        <w:spacing w:line="580" w:lineRule="exact"/>
        <w:ind w:left="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 xml:space="preserve">     2.社会保障和就业支出（类）行政事业单位养老（款）机关事业单位职业年金缴费支出（项）</w:t>
      </w:r>
      <w:r>
        <w:rPr>
          <w:rFonts w:hint="eastAsia" w:ascii="仿宋_GB2312" w:hAnsi="TimesNewRoman" w:eastAsia="仿宋_GB2312" w:cs="TimesNewRoman"/>
          <w:sz w:val="32"/>
          <w:szCs w:val="32"/>
        </w:rPr>
        <w:t>2026年预算10.85万元，比2025年预算增加</w:t>
      </w:r>
      <w:r>
        <w:rPr>
          <w:rFonts w:hint="eastAsia" w:ascii="仿宋_GB2312" w:hAnsi="TimesNewRoman" w:eastAsia="仿宋_GB2312" w:cs="TimesNewRoman"/>
          <w:sz w:val="32"/>
          <w:szCs w:val="32"/>
          <w:lang w:val="en-US" w:eastAsia="zh-CN"/>
        </w:rPr>
        <w:t>0.75</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7.42</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:人员工资调标，工资增长，社保基数增长</w:t>
      </w:r>
      <w:r>
        <w:rPr>
          <w:rFonts w:hint="eastAsia" w:ascii="仿宋_GB2312" w:hAnsi="TimesNewRoman" w:eastAsia="仿宋_GB2312" w:cs="TimesNewRoman"/>
          <w:sz w:val="32"/>
          <w:szCs w:val="32"/>
        </w:rPr>
        <w:t>。</w:t>
      </w:r>
    </w:p>
    <w:p w14:paraId="63532F6B">
      <w:pPr>
        <w:topLinePunct/>
        <w:spacing w:line="580" w:lineRule="exact"/>
        <w:ind w:left="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 xml:space="preserve">   3.社会保障和就业支出（类）其他社会保障和就业支出（款）其他社会保障和就业支出（项）</w:t>
      </w:r>
      <w:r>
        <w:rPr>
          <w:rFonts w:hint="eastAsia" w:ascii="仿宋_GB2312" w:hAnsi="TimesNewRoman" w:eastAsia="仿宋_GB2312" w:cs="TimesNewRoman"/>
          <w:sz w:val="32"/>
          <w:szCs w:val="32"/>
        </w:rPr>
        <w:t>2026年预算0.95万元，比2025年预算增加</w:t>
      </w:r>
      <w:r>
        <w:rPr>
          <w:rFonts w:hint="eastAsia" w:ascii="仿宋_GB2312" w:hAnsi="TimesNewRoman" w:eastAsia="仿宋_GB2312" w:cs="TimesNewRoman"/>
          <w:sz w:val="32"/>
          <w:szCs w:val="32"/>
          <w:lang w:val="en-US" w:eastAsia="zh-CN"/>
        </w:rPr>
        <w:t>0.05</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5.55</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:人员工资调标，工资增长，社保基数增长</w:t>
      </w:r>
      <w:r>
        <w:rPr>
          <w:rFonts w:hint="eastAsia" w:ascii="仿宋_GB2312" w:hAnsi="TimesNewRoman" w:eastAsia="仿宋_GB2312" w:cs="TimesNewRoman"/>
          <w:sz w:val="32"/>
          <w:szCs w:val="32"/>
        </w:rPr>
        <w:t>。</w:t>
      </w:r>
    </w:p>
    <w:p w14:paraId="3E238C9C">
      <w:pPr>
        <w:topLinePunct/>
        <w:spacing w:line="580" w:lineRule="exact"/>
        <w:ind w:left="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 xml:space="preserve">   4</w:t>
      </w:r>
      <w:r>
        <w:rPr>
          <w:rFonts w:hint="eastAsia" w:ascii="仿宋_GB2312" w:hAnsi="TimesNewRoman" w:eastAsia="仿宋_GB2312" w:cs="TimesNewRoman"/>
          <w:b/>
          <w:sz w:val="32"/>
          <w:szCs w:val="32"/>
        </w:rPr>
        <w:t>.卫生健康支出（类）基层医疗卫生机构（款）乡镇卫生院（项）</w:t>
      </w:r>
      <w:r>
        <w:rPr>
          <w:rFonts w:hint="eastAsia" w:ascii="仿宋_GB2312" w:hAnsi="TimesNewRoman" w:eastAsia="仿宋_GB2312" w:cs="TimesNewRoman"/>
          <w:sz w:val="32"/>
          <w:szCs w:val="32"/>
        </w:rPr>
        <w:t>2026年预算191.38万元，比2025年预算增加</w:t>
      </w:r>
      <w:r>
        <w:rPr>
          <w:rFonts w:hint="eastAsia" w:ascii="仿宋_GB2312" w:hAnsi="TimesNewRoman" w:eastAsia="仿宋_GB2312" w:cs="TimesNewRoman"/>
          <w:sz w:val="32"/>
          <w:szCs w:val="32"/>
          <w:lang w:val="en-US" w:eastAsia="zh-CN"/>
        </w:rPr>
        <w:t>10.98</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6.95</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bCs/>
          <w:color w:val="000000"/>
          <w:sz w:val="32"/>
          <w:szCs w:val="32"/>
        </w:rPr>
        <w:t>人员工资</w:t>
      </w:r>
      <w:r>
        <w:rPr>
          <w:rFonts w:hint="eastAsia" w:ascii="仿宋_GB2312" w:hAnsi="TimesNewRoman" w:eastAsia="仿宋_GB2312" w:cs="TimesNewRoman"/>
          <w:bCs/>
          <w:color w:val="000000"/>
          <w:sz w:val="32"/>
          <w:szCs w:val="32"/>
          <w:lang w:val="en-US" w:eastAsia="zh-CN"/>
        </w:rPr>
        <w:t>增长</w:t>
      </w:r>
      <w:r>
        <w:rPr>
          <w:rFonts w:hint="eastAsia" w:ascii="仿宋_GB2312" w:hAnsi="TimesNewRoman" w:eastAsia="仿宋_GB2312" w:cs="TimesNewRoman"/>
          <w:bCs/>
          <w:color w:val="000000"/>
          <w:sz w:val="32"/>
          <w:szCs w:val="32"/>
        </w:rPr>
        <w:t>、公用经费、三年过度安置人员</w:t>
      </w:r>
      <w:r>
        <w:rPr>
          <w:rFonts w:hint="eastAsia" w:ascii="仿宋_GB2312" w:hAnsi="TimesNewRoman" w:eastAsia="仿宋_GB2312" w:cs="TimesNewRoman"/>
          <w:bCs/>
          <w:color w:val="000000"/>
          <w:sz w:val="32"/>
          <w:szCs w:val="32"/>
          <w:lang w:val="en-US" w:eastAsia="zh-CN"/>
        </w:rPr>
        <w:t>工资增长</w:t>
      </w:r>
      <w:r>
        <w:rPr>
          <w:rFonts w:hint="eastAsia" w:ascii="仿宋_GB2312" w:hAnsi="TimesNewRoman" w:eastAsia="仿宋_GB2312" w:cs="TimesNewRoman"/>
          <w:sz w:val="32"/>
          <w:szCs w:val="32"/>
        </w:rPr>
        <w:t>。</w:t>
      </w:r>
    </w:p>
    <w:p w14:paraId="799FA1A2">
      <w:pPr>
        <w:pBdr>
          <w:bottom w:val="none" w:color="auto" w:sz="0" w:space="0"/>
        </w:pBdr>
        <w:topLinePunct/>
        <w:spacing w:line="580" w:lineRule="exact"/>
        <w:ind w:left="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 xml:space="preserve">    5.卫生健康支出（类）行政事业单位医疗（款）事业单位医疗（项）</w:t>
      </w:r>
      <w:r>
        <w:rPr>
          <w:rFonts w:hint="eastAsia" w:ascii="仿宋_GB2312" w:hAnsi="TimesNewRoman" w:eastAsia="仿宋_GB2312" w:cs="TimesNewRoman"/>
          <w:sz w:val="32"/>
          <w:szCs w:val="32"/>
        </w:rPr>
        <w:t>2026年预算9.36万元，比2025年预算增加</w:t>
      </w:r>
      <w:r>
        <w:rPr>
          <w:rFonts w:hint="eastAsia" w:ascii="仿宋_GB2312" w:hAnsi="TimesNewRoman" w:eastAsia="仿宋_GB2312" w:cs="TimesNewRoman"/>
          <w:sz w:val="32"/>
          <w:szCs w:val="32"/>
          <w:lang w:val="en-US" w:eastAsia="zh-CN"/>
        </w:rPr>
        <w:t>0.66</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7.58</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:人员工资调标，工资增长，社保基数增长</w:t>
      </w:r>
      <w:r>
        <w:rPr>
          <w:rFonts w:hint="eastAsia" w:ascii="仿宋_GB2312" w:hAnsi="TimesNewRoman" w:eastAsia="仿宋_GB2312" w:cs="TimesNewRoman"/>
          <w:sz w:val="32"/>
          <w:szCs w:val="32"/>
        </w:rPr>
        <w:t>。</w:t>
      </w:r>
    </w:p>
    <w:p w14:paraId="4BA70D8C">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6.住房保障支出（类）住房改革支出（款）住房公积金（项）</w:t>
      </w:r>
      <w:r>
        <w:rPr>
          <w:rFonts w:hint="eastAsia" w:ascii="仿宋_GB2312" w:hAnsi="TimesNewRoman" w:eastAsia="仿宋_GB2312" w:cs="TimesNewRoman"/>
          <w:sz w:val="32"/>
          <w:szCs w:val="32"/>
        </w:rPr>
        <w:t>2026年预算16.84万元，比2025年预算增加</w:t>
      </w:r>
      <w:r>
        <w:rPr>
          <w:rFonts w:hint="eastAsia" w:ascii="仿宋_GB2312" w:hAnsi="TimesNewRoman" w:eastAsia="仿宋_GB2312" w:cs="TimesNewRoman"/>
          <w:sz w:val="32"/>
          <w:szCs w:val="32"/>
          <w:lang w:val="en-US" w:eastAsia="zh-CN"/>
        </w:rPr>
        <w:t>1.74</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11.52</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:人员工资调标，工资增长，公积金基数增长</w:t>
      </w:r>
      <w:r>
        <w:rPr>
          <w:rFonts w:hint="eastAsia" w:ascii="仿宋_GB2312" w:hAnsi="TimesNewRoman" w:eastAsia="仿宋_GB2312" w:cs="TimesNewRoman"/>
          <w:sz w:val="32"/>
          <w:szCs w:val="32"/>
        </w:rPr>
        <w:t>。</w:t>
      </w:r>
    </w:p>
    <w:p w14:paraId="54444D06">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7.住房保障支出（类）住房改革支出（款）提租补贴（项）</w:t>
      </w:r>
      <w:r>
        <w:rPr>
          <w:rFonts w:hint="eastAsia" w:ascii="仿宋_GB2312" w:hAnsi="TimesNewRoman" w:eastAsia="仿宋_GB2312" w:cs="TimesNewRoman"/>
          <w:sz w:val="32"/>
          <w:szCs w:val="32"/>
        </w:rPr>
        <w:t>2026年预算11.24万元，比2025年预算增加11.24万元，增长100%，增长原因主要是：提租补贴首次纳入年初预算。</w:t>
      </w:r>
    </w:p>
    <w:p w14:paraId="417E9460">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六、关于2026年一般公共预算基本支出表的说明</w:t>
      </w:r>
    </w:p>
    <w:p w14:paraId="5F13DA77">
      <w:pPr>
        <w:topLinePunct/>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寿县众兴镇卫生院2026年一般公共预算基本支出256.86万元，其中，人员经费25</w:t>
      </w:r>
      <w:r>
        <w:rPr>
          <w:rFonts w:hint="eastAsia" w:ascii="仿宋_GB2312" w:hAnsi="TimesNewRoman" w:eastAsia="仿宋_GB2312" w:cs="TimesNewRoman"/>
          <w:sz w:val="32"/>
          <w:szCs w:val="32"/>
          <w:lang w:val="en-US" w:eastAsia="zh-CN"/>
        </w:rPr>
        <w:t>5.5</w:t>
      </w:r>
      <w:r>
        <w:rPr>
          <w:rFonts w:hint="eastAsia" w:ascii="仿宋_GB2312" w:hAnsi="TimesNewRoman" w:eastAsia="仿宋_GB2312" w:cs="TimesNewRoman"/>
          <w:sz w:val="32"/>
          <w:szCs w:val="32"/>
        </w:rPr>
        <w:t>万元，公用经费</w:t>
      </w:r>
      <w:r>
        <w:rPr>
          <w:rFonts w:hint="eastAsia" w:ascii="仿宋_GB2312" w:hAnsi="TimesNewRoman" w:eastAsia="仿宋_GB2312" w:cs="TimesNewRoman"/>
          <w:sz w:val="32"/>
          <w:szCs w:val="32"/>
          <w:lang w:val="en-US" w:eastAsia="zh-CN"/>
        </w:rPr>
        <w:t>1.31</w:t>
      </w:r>
      <w:r>
        <w:rPr>
          <w:rFonts w:hint="eastAsia" w:ascii="仿宋_GB2312" w:hAnsi="TimesNewRoman" w:eastAsia="仿宋_GB2312" w:cs="TimesNewRoman"/>
          <w:sz w:val="32"/>
          <w:szCs w:val="32"/>
        </w:rPr>
        <w:t>万元。</w:t>
      </w:r>
    </w:p>
    <w:p w14:paraId="3270E53B">
      <w:pPr>
        <w:topLinePunct/>
        <w:spacing w:line="580" w:lineRule="exact"/>
        <w:ind w:firstLine="640" w:firstLineChars="200"/>
        <w:rPr>
          <w:rFonts w:hint="eastAsia" w:ascii="仿宋_GB2312" w:hAnsi="TimesNewRoman" w:eastAsia="仿宋_GB2312" w:cs="TimesNewRoman"/>
          <w:sz w:val="32"/>
          <w:szCs w:val="32"/>
          <w:u w:val="none"/>
        </w:rPr>
      </w:pPr>
      <w:r>
        <w:rPr>
          <w:rFonts w:hint="eastAsia" w:ascii="仿宋_GB2312" w:hAnsi="TimesNewRoman" w:eastAsia="仿宋_GB2312" w:cs="TimesNewRoman"/>
          <w:sz w:val="32"/>
          <w:szCs w:val="32"/>
        </w:rPr>
        <w:t>（一）人</w:t>
      </w:r>
      <w:r>
        <w:rPr>
          <w:rFonts w:hint="eastAsia" w:ascii="仿宋_GB2312" w:hAnsi="TimesNewRoman" w:eastAsia="仿宋_GB2312" w:cs="TimesNewRoman"/>
          <w:sz w:val="32"/>
          <w:szCs w:val="32"/>
          <w:u w:val="none"/>
        </w:rPr>
        <w:t>员经费</w:t>
      </w:r>
      <w:r>
        <w:rPr>
          <w:rFonts w:hint="eastAsia" w:ascii="仿宋_GB2312" w:hAnsi="TimesNewRoman" w:eastAsia="仿宋_GB2312" w:cs="TimesNewRoman"/>
          <w:sz w:val="32"/>
          <w:szCs w:val="32"/>
        </w:rPr>
        <w:t>256.86</w:t>
      </w:r>
      <w:r>
        <w:rPr>
          <w:rFonts w:hint="eastAsia" w:ascii="仿宋_GB2312" w:hAnsi="TimesNewRoman" w:eastAsia="仿宋_GB2312" w:cs="TimesNewRoman"/>
          <w:sz w:val="32"/>
          <w:szCs w:val="32"/>
          <w:u w:val="none"/>
        </w:rPr>
        <w:t>万元，主要包括:基本工资、津贴补贴、绩效工资、机关事业单位基本养老保险</w:t>
      </w:r>
      <w:r>
        <w:rPr>
          <w:rFonts w:hint="eastAsia" w:ascii="仿宋_GB2312" w:hAnsi="TimesNewRoman" w:eastAsia="仿宋_GB2312" w:cs="TimesNewRoman"/>
          <w:sz w:val="32"/>
          <w:szCs w:val="32"/>
          <w:u w:val="none"/>
          <w:lang w:eastAsia="zh-CN"/>
        </w:rPr>
        <w:t>缴</w:t>
      </w:r>
      <w:r>
        <w:rPr>
          <w:rFonts w:hint="eastAsia" w:ascii="仿宋_GB2312" w:hAnsi="TimesNewRoman" w:eastAsia="仿宋_GB2312" w:cs="TimesNewRoman"/>
          <w:sz w:val="32"/>
          <w:szCs w:val="32"/>
          <w:u w:val="none"/>
        </w:rPr>
        <w:t>费、职业年金缴费、职工基本医疗保险缴费、其他社会保障缴费、住房公积金、其他工资福利支出、其他商品和服务支出、退休费、生活补助。</w:t>
      </w:r>
    </w:p>
    <w:p w14:paraId="4EE782A5">
      <w:pPr>
        <w:pStyle w:val="15"/>
        <w:keepNext w:val="0"/>
        <w:keepLines w:val="0"/>
        <w:widowControl/>
        <w:suppressLineNumbers w:val="0"/>
        <w:spacing w:before="0" w:beforeAutospacing="0" w:after="0" w:afterAutospacing="0" w:line="580" w:lineRule="exact"/>
        <w:ind w:left="0" w:right="0" w:firstLine="42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（二）公用经费</w:t>
      </w:r>
      <w:r>
        <w:rPr>
          <w:rFonts w:hint="eastAsia" w:ascii="仿宋_GB2312" w:hAnsi="TimesNewRoman" w:eastAsia="仿宋_GB2312" w:cs="TimesNewRoman"/>
          <w:sz w:val="32"/>
          <w:szCs w:val="32"/>
          <w:lang w:val="en-US" w:eastAsia="zh-CN"/>
        </w:rPr>
        <w:t>1.31</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u w:val="none"/>
        </w:rPr>
        <w:t>主要包括:</w:t>
      </w:r>
      <w:r>
        <w:rPr>
          <w:rFonts w:ascii="仿宋_GB2312" w:eastAsia="仿宋_GB2312" w:cs="仿宋_GB2312"/>
          <w:b w:val="0"/>
          <w:bCs w:val="0"/>
          <w:i w:val="0"/>
          <w:iCs w:val="0"/>
          <w:color w:val="000000"/>
          <w:spacing w:val="0"/>
          <w:w w:val="100"/>
          <w:sz w:val="32"/>
          <w:szCs w:val="32"/>
          <w:vertAlign w:val="baseline"/>
        </w:rPr>
        <w:t>其他商品服务支出</w:t>
      </w:r>
      <w:r>
        <w:rPr>
          <w:rFonts w:hint="eastAsia" w:ascii="仿宋_GB2312" w:eastAsia="仿宋_GB2312" w:cs="仿宋_GB2312"/>
          <w:b w:val="0"/>
          <w:bCs w:val="0"/>
          <w:i w:val="0"/>
          <w:iCs w:val="0"/>
          <w:color w:val="000000"/>
          <w:spacing w:val="0"/>
          <w:w w:val="100"/>
          <w:sz w:val="32"/>
          <w:szCs w:val="32"/>
          <w:vertAlign w:val="baseline"/>
          <w:lang w:eastAsia="zh-CN"/>
        </w:rPr>
        <w:t>。</w:t>
      </w:r>
    </w:p>
    <w:p w14:paraId="41C06328">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七、关于2026年政府性基金预算支出表的说明</w:t>
      </w:r>
    </w:p>
    <w:p w14:paraId="21615845">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仿宋_GB2312" w:hAnsi="TimesNewRoman" w:eastAsia="仿宋_GB2312" w:cs="TimesNewRoman"/>
          <w:sz w:val="32"/>
          <w:szCs w:val="32"/>
        </w:rPr>
        <w:t>寿县众兴镇卫生院2026年没有政府性基金预算拨款收入，也没有使用政府性基金预算拨款安排的支出。</w:t>
      </w:r>
    </w:p>
    <w:p w14:paraId="47B8BD67">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八、关于2026年国有资本经营预算支出表的说明</w:t>
      </w:r>
    </w:p>
    <w:p w14:paraId="5FC7BC0E">
      <w:pPr>
        <w:pStyle w:val="15"/>
        <w:topLinePunct/>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寿县众兴镇卫生院2026年没有国有资本经营预算拨款收入，也没有使用国有资本经营预算拨款安排的支出。</w:t>
      </w:r>
    </w:p>
    <w:p w14:paraId="7C286848">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九、关于2026年项目支出表的说明</w:t>
      </w:r>
    </w:p>
    <w:p w14:paraId="4400AF2C">
      <w:pPr>
        <w:pStyle w:val="15"/>
        <w:topLinePunct/>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寿县众兴镇卫生院2026年预算共安排项目支出505.44万元，比2025年预算增加</w:t>
      </w:r>
      <w:r>
        <w:rPr>
          <w:rFonts w:hint="eastAsia" w:ascii="仿宋_GB2312" w:hAnsi="TimesNewRoman" w:eastAsia="仿宋_GB2312" w:cs="TimesNewRoman"/>
          <w:sz w:val="32"/>
          <w:szCs w:val="32"/>
          <w:lang w:val="en-US" w:eastAsia="zh-CN"/>
        </w:rPr>
        <w:t>499.34</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8185</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val="en-US" w:eastAsia="zh-CN"/>
        </w:rPr>
        <w:t>:</w:t>
      </w:r>
      <w:r>
        <w:rPr>
          <w:rFonts w:hint="eastAsia" w:ascii="仿宋_GB2312" w:hAnsi="TimesNewRoman" w:eastAsia="仿宋_GB2312" w:cs="TimesNewRoman"/>
          <w:sz w:val="32"/>
          <w:szCs w:val="32"/>
        </w:rPr>
        <w:t>本年度单位资金纳入项目资金范围</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lang w:val="en-US" w:eastAsia="zh-CN"/>
        </w:rPr>
        <w:t>统计口径不一致，原单位预计支出统计到项目支出</w:t>
      </w:r>
      <w:r>
        <w:rPr>
          <w:rFonts w:hint="eastAsia" w:ascii="仿宋_GB2312" w:hAnsi="TimesNewRoman" w:eastAsia="仿宋_GB2312" w:cs="TimesNewRoman"/>
          <w:sz w:val="32"/>
          <w:szCs w:val="32"/>
        </w:rPr>
        <w:t>。主要包括：本年财政拨款安排5.44万元（其中，一般公共预算拨款安排5.44万元，政府性基金预算拨款安排0万元，国有资本经营预算拨款安排0万元）。</w:t>
      </w:r>
    </w:p>
    <w:p w14:paraId="2CD41337">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十、关于2026年政府采购支出表的说明</w:t>
      </w:r>
    </w:p>
    <w:p w14:paraId="6723D3B1">
      <w:pPr>
        <w:pStyle w:val="15"/>
        <w:topLinePunct/>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寿县众兴镇卫生院2026年预算安排政府采购支出</w:t>
      </w:r>
      <w:r>
        <w:rPr>
          <w:rFonts w:hint="eastAsia" w:ascii="仿宋_GB2312" w:hAnsi="TimesNewRoman" w:eastAsia="仿宋_GB2312" w:cs="TimesNewRoman"/>
          <w:sz w:val="32"/>
          <w:szCs w:val="32"/>
          <w:lang w:val="en-US" w:eastAsia="zh-CN"/>
        </w:rPr>
        <w:t>11</w:t>
      </w:r>
      <w:r>
        <w:rPr>
          <w:rFonts w:hint="eastAsia" w:ascii="仿宋_GB2312" w:hAnsi="TimesNewRoman" w:eastAsia="仿宋_GB2312" w:cs="TimesNewRoman"/>
          <w:sz w:val="32"/>
          <w:szCs w:val="32"/>
        </w:rPr>
        <w:t>万元，比2025年预算增加</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val="en-US" w:eastAsia="zh-CN"/>
        </w:rPr>
        <w:t>与上年持平</w:t>
      </w:r>
      <w:r>
        <w:rPr>
          <w:rFonts w:hint="eastAsia" w:ascii="仿宋_GB2312" w:hAnsi="TimesNewRoman" w:eastAsia="仿宋_GB2312" w:cs="TimesNewRoman"/>
          <w:sz w:val="32"/>
          <w:szCs w:val="32"/>
        </w:rPr>
        <w:t>。其中，一般公共预算安排0万元，占0%；政府性基金预算安排0万元，占0%；国有资本经营预算安排0万元，占0%；财政专户管理资金安排0万元，占0%；单位资金安排</w:t>
      </w:r>
      <w:r>
        <w:rPr>
          <w:rFonts w:hint="eastAsia" w:ascii="仿宋_GB2312" w:hAnsi="TimesNewRoman" w:eastAsia="仿宋_GB2312" w:cs="TimesNewRoman"/>
          <w:sz w:val="32"/>
          <w:szCs w:val="32"/>
          <w:lang w:val="en-US" w:eastAsia="zh-CN"/>
        </w:rPr>
        <w:t>11</w:t>
      </w:r>
      <w:r>
        <w:rPr>
          <w:rFonts w:hint="eastAsia" w:ascii="仿宋_GB2312" w:hAnsi="TimesNewRoman" w:eastAsia="仿宋_GB2312" w:cs="TimesNewRoman"/>
          <w:sz w:val="32"/>
          <w:szCs w:val="32"/>
        </w:rPr>
        <w:t>万元，占100%。</w:t>
      </w:r>
    </w:p>
    <w:p w14:paraId="1C058145">
      <w:pPr>
        <w:pStyle w:val="15"/>
        <w:topLinePunct/>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十一、关于2026年政府购买服务支出表的说明</w:t>
      </w:r>
    </w:p>
    <w:p w14:paraId="5A2A3754">
      <w:pPr>
        <w:pStyle w:val="15"/>
        <w:topLinePunct/>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寿县众兴镇卫生院2026年没有安排政府购买服务支出。</w:t>
      </w:r>
    </w:p>
    <w:p w14:paraId="4BF2CC81">
      <w:pPr>
        <w:pStyle w:val="15"/>
        <w:topLinePunct/>
        <w:spacing w:beforeAutospacing="0" w:afterAutospacing="0" w:line="580" w:lineRule="exact"/>
        <w:ind w:firstLine="640" w:firstLineChars="200"/>
        <w:jc w:val="both"/>
        <w:rPr>
          <w:rFonts w:ascii="楷体_GB2312" w:hAnsi="TimesNewRoman" w:eastAsia="楷体_GB2312" w:cs="TimesNewRoman"/>
          <w:b/>
          <w:sz w:val="32"/>
          <w:szCs w:val="32"/>
        </w:rPr>
      </w:pPr>
      <w:r>
        <w:rPr>
          <w:rFonts w:hint="eastAsia" w:ascii="楷体_GB2312" w:hAnsi="TimesNewRoman" w:eastAsia="楷体_GB2312" w:cs="TimesNewRoman"/>
          <w:b/>
          <w:sz w:val="32"/>
          <w:szCs w:val="32"/>
        </w:rPr>
        <w:t>十二、关于2026</w:t>
      </w:r>
      <w:r>
        <w:rPr>
          <w:rFonts w:ascii="楷体_GB2312" w:hAnsi="TimesNewRoman" w:eastAsia="楷体_GB2312" w:cs="TimesNewRoman"/>
          <w:b/>
          <w:sz w:val="32"/>
          <w:szCs w:val="32"/>
        </w:rPr>
        <w:t>年一般公共预算“三公”经费支出情况说明</w:t>
      </w:r>
    </w:p>
    <w:p w14:paraId="43547651">
      <w:pPr>
        <w:spacing w:line="560" w:lineRule="exact"/>
        <w:ind w:firstLine="640" w:firstLineChars="200"/>
        <w:rPr>
          <w:rFonts w:ascii="仿宋_GB2312" w:hAnsi="TimesNewRoman" w:eastAsia="仿宋_GB2312" w:cs="TimesNewRoman"/>
          <w:kern w:val="0"/>
          <w:sz w:val="32"/>
          <w:szCs w:val="32"/>
        </w:rPr>
      </w:pPr>
      <w:r>
        <w:rPr>
          <w:rFonts w:hint="eastAsia" w:ascii="仿宋_GB2312" w:hAnsi="TimesNewRoman" w:eastAsia="仿宋_GB2312" w:cs="TimesNewRoman"/>
          <w:kern w:val="0"/>
          <w:sz w:val="32"/>
          <w:szCs w:val="32"/>
        </w:rPr>
        <w:t>寿县众兴镇卫生院2026</w:t>
      </w:r>
      <w:r>
        <w:rPr>
          <w:rFonts w:ascii="仿宋_GB2312" w:hAnsi="TimesNewRoman" w:eastAsia="仿宋_GB2312" w:cs="TimesNewRoman"/>
          <w:kern w:val="0"/>
          <w:sz w:val="32"/>
          <w:szCs w:val="32"/>
        </w:rPr>
        <w:t>年一般公共预算“三公”经费支出预算为</w:t>
      </w:r>
      <w:r>
        <w:rPr>
          <w:rFonts w:hint="eastAsia" w:ascii="仿宋_GB2312" w:hAnsi="TimesNewRoman" w:eastAsia="仿宋_GB2312" w:cs="TimesNewRoman"/>
          <w:kern w:val="0"/>
          <w:sz w:val="32"/>
          <w:szCs w:val="32"/>
        </w:rPr>
        <w:t>0</w:t>
      </w:r>
      <w:r>
        <w:rPr>
          <w:rFonts w:ascii="仿宋_GB2312" w:hAnsi="TimesNewRoman" w:eastAsia="仿宋_GB2312" w:cs="TimesNewRoman"/>
          <w:kern w:val="0"/>
          <w:sz w:val="32"/>
          <w:szCs w:val="32"/>
        </w:rPr>
        <w:t>万元，比</w:t>
      </w:r>
      <w:r>
        <w:rPr>
          <w:rFonts w:hint="eastAsia" w:ascii="仿宋_GB2312" w:hAnsi="TimesNewRoman" w:eastAsia="仿宋_GB2312" w:cs="TimesNewRoman"/>
          <w:kern w:val="0"/>
          <w:sz w:val="32"/>
          <w:szCs w:val="32"/>
        </w:rPr>
        <w:t>2025</w:t>
      </w:r>
      <w:r>
        <w:rPr>
          <w:rFonts w:ascii="仿宋_GB2312" w:hAnsi="TimesNewRoman" w:eastAsia="仿宋_GB2312" w:cs="TimesNewRoman"/>
          <w:kern w:val="0"/>
          <w:sz w:val="32"/>
          <w:szCs w:val="32"/>
        </w:rPr>
        <w:t>年预算增加</w:t>
      </w:r>
      <w:r>
        <w:rPr>
          <w:rFonts w:hint="eastAsia" w:ascii="仿宋_GB2312" w:hAnsi="TimesNewRoman" w:eastAsia="仿宋_GB2312" w:cs="TimesNewRoman"/>
          <w:kern w:val="0"/>
          <w:sz w:val="32"/>
          <w:szCs w:val="32"/>
        </w:rPr>
        <w:t>0</w:t>
      </w:r>
      <w:r>
        <w:rPr>
          <w:rFonts w:ascii="仿宋_GB2312" w:hAnsi="TimesNewRoman" w:eastAsia="仿宋_GB2312" w:cs="TimesNewRoman"/>
          <w:kern w:val="0"/>
          <w:sz w:val="32"/>
          <w:szCs w:val="32"/>
        </w:rPr>
        <w:t>万元，增长</w:t>
      </w:r>
      <w:r>
        <w:rPr>
          <w:rFonts w:hint="eastAsia" w:ascii="仿宋_GB2312" w:hAnsi="TimesNewRoman" w:eastAsia="仿宋_GB2312" w:cs="TimesNewRoman"/>
          <w:kern w:val="0"/>
          <w:sz w:val="32"/>
          <w:szCs w:val="32"/>
        </w:rPr>
        <w:t>0</w:t>
      </w:r>
      <w:r>
        <w:rPr>
          <w:rFonts w:ascii="仿宋_GB2312" w:hAnsi="TimesNewRoman" w:eastAsia="仿宋_GB2312" w:cs="TimesNewRoman"/>
          <w:kern w:val="0"/>
          <w:sz w:val="32"/>
          <w:szCs w:val="32"/>
        </w:rPr>
        <w:t>%。其中：因公出国（境）费支出预算为</w:t>
      </w:r>
      <w:r>
        <w:rPr>
          <w:rFonts w:hint="eastAsia" w:ascii="仿宋_GB2312" w:hAnsi="TimesNewRoman" w:eastAsia="仿宋_GB2312" w:cs="TimesNewRoman"/>
          <w:kern w:val="0"/>
          <w:sz w:val="32"/>
          <w:szCs w:val="32"/>
        </w:rPr>
        <w:t>0</w:t>
      </w:r>
      <w:r>
        <w:rPr>
          <w:rFonts w:ascii="仿宋_GB2312" w:hAnsi="TimesNewRoman" w:eastAsia="仿宋_GB2312" w:cs="TimesNewRoman"/>
          <w:kern w:val="0"/>
          <w:sz w:val="32"/>
          <w:szCs w:val="32"/>
        </w:rPr>
        <w:t>万元，公务接待费支出预算为</w:t>
      </w:r>
      <w:r>
        <w:rPr>
          <w:rFonts w:hint="eastAsia" w:ascii="仿宋_GB2312" w:hAnsi="TimesNewRoman" w:eastAsia="仿宋_GB2312" w:cs="TimesNewRoman"/>
          <w:kern w:val="0"/>
          <w:sz w:val="32"/>
          <w:szCs w:val="32"/>
        </w:rPr>
        <w:t>0</w:t>
      </w:r>
      <w:r>
        <w:rPr>
          <w:rFonts w:ascii="仿宋_GB2312" w:hAnsi="TimesNewRoman" w:eastAsia="仿宋_GB2312" w:cs="TimesNewRoman"/>
          <w:kern w:val="0"/>
          <w:sz w:val="32"/>
          <w:szCs w:val="32"/>
        </w:rPr>
        <w:t>万元，公务用车购置及运行费支出预算为</w:t>
      </w:r>
      <w:r>
        <w:rPr>
          <w:rFonts w:hint="eastAsia" w:ascii="仿宋_GB2312" w:hAnsi="TimesNewRoman" w:eastAsia="仿宋_GB2312" w:cs="TimesNewRoman"/>
          <w:kern w:val="0"/>
          <w:sz w:val="32"/>
          <w:szCs w:val="32"/>
        </w:rPr>
        <w:t>0</w:t>
      </w:r>
      <w:r>
        <w:rPr>
          <w:rFonts w:ascii="仿宋_GB2312" w:hAnsi="TimesNewRoman" w:eastAsia="仿宋_GB2312" w:cs="TimesNewRoman"/>
          <w:kern w:val="0"/>
          <w:sz w:val="32"/>
          <w:szCs w:val="32"/>
        </w:rPr>
        <w:t>万元。具体情况如下：</w:t>
      </w:r>
    </w:p>
    <w:p w14:paraId="71CDA2A5">
      <w:pPr>
        <w:pStyle w:val="15"/>
        <w:spacing w:beforeAutospacing="0" w:afterAutospacing="0" w:line="560" w:lineRule="exact"/>
        <w:ind w:firstLine="640" w:firstLineChars="200"/>
        <w:rPr>
          <w:rFonts w:ascii="仿宋_GB2312" w:hAnsi="TimesNewRoman" w:eastAsia="仿宋_GB2312" w:cs="TimesNewRoman"/>
          <w:sz w:val="32"/>
          <w:szCs w:val="32"/>
        </w:rPr>
      </w:pPr>
      <w:r>
        <w:rPr>
          <w:rFonts w:ascii="仿宋_GB2312" w:hAnsi="TimesNewRoman" w:eastAsia="仿宋_GB2312" w:cs="TimesNewRoman"/>
          <w:sz w:val="32"/>
          <w:szCs w:val="32"/>
        </w:rPr>
        <w:t>（一）因公出国（境）费支</w:t>
      </w:r>
      <w:r>
        <w:rPr>
          <w:rFonts w:ascii="TimesNewRoman" w:hAnsi="TimesNewRoman" w:eastAsia="仿宋_GB2312" w:cs="TimesNewRoman"/>
          <w:sz w:val="32"/>
          <w:szCs w:val="32"/>
        </w:rPr>
        <w:t>出预算</w:t>
      </w:r>
      <w:r>
        <w:rPr>
          <w:rFonts w:hint="eastAsia" w:ascii="TimesNewRoman" w:hAnsi="TimesNewRoman" w:eastAsia="仿宋_GB2312" w:cs="TimesNewRoman"/>
          <w:sz w:val="32"/>
          <w:szCs w:val="32"/>
        </w:rPr>
        <w:t>0</w:t>
      </w:r>
      <w:r>
        <w:rPr>
          <w:rFonts w:ascii="TimesNewRoman" w:hAnsi="TimesNewRoman" w:eastAsia="仿宋_GB2312" w:cs="TimesNewRoman"/>
          <w:sz w:val="32"/>
          <w:szCs w:val="32"/>
        </w:rPr>
        <w:t>万元,</w:t>
      </w:r>
      <w:r>
        <w:rPr>
          <w:rFonts w:ascii="仿宋_GB2312" w:hAnsi="TimesNewRoman" w:eastAsia="仿宋_GB2312" w:cs="TimesNewRoman"/>
          <w:sz w:val="32"/>
          <w:szCs w:val="32"/>
        </w:rPr>
        <w:t xml:space="preserve"> 比</w:t>
      </w:r>
      <w:r>
        <w:rPr>
          <w:rFonts w:hint="eastAsia" w:ascii="仿宋_GB2312" w:hAnsi="TimesNewRoman" w:eastAsia="仿宋_GB2312" w:cs="TimesNewRoman"/>
          <w:sz w:val="32"/>
          <w:szCs w:val="32"/>
        </w:rPr>
        <w:t>2025</w:t>
      </w:r>
      <w:r>
        <w:rPr>
          <w:rFonts w:ascii="仿宋_GB2312" w:hAnsi="TimesNewRoman" w:eastAsia="仿宋_GB2312" w:cs="TimesNewRoman"/>
          <w:sz w:val="32"/>
          <w:szCs w:val="32"/>
        </w:rPr>
        <w:t>年预算增加</w:t>
      </w:r>
      <w:r>
        <w:rPr>
          <w:rFonts w:hint="eastAsia" w:ascii="仿宋_GB2312" w:hAnsi="TimesNewRoman" w:eastAsia="仿宋_GB2312" w:cs="TimesNewRoman"/>
          <w:sz w:val="32"/>
          <w:szCs w:val="32"/>
        </w:rPr>
        <w:t>0</w:t>
      </w:r>
      <w:r>
        <w:rPr>
          <w:rFonts w:ascii="仿宋_GB2312" w:hAnsi="TimesNewRoman" w:eastAsia="仿宋_GB2312" w:cs="TimesNewRoman"/>
          <w:sz w:val="32"/>
          <w:szCs w:val="32"/>
        </w:rPr>
        <w:t>万元，增长</w:t>
      </w:r>
      <w:r>
        <w:rPr>
          <w:rFonts w:hint="eastAsia" w:ascii="仿宋_GB2312" w:hAnsi="TimesNewRoman" w:eastAsia="仿宋_GB2312" w:cs="TimesNewRoman"/>
          <w:sz w:val="32"/>
          <w:szCs w:val="32"/>
        </w:rPr>
        <w:t>0</w:t>
      </w:r>
      <w:r>
        <w:rPr>
          <w:rFonts w:ascii="仿宋_GB2312" w:hAnsi="TimesNewRoman" w:eastAsia="仿宋_GB2312" w:cs="TimesNewRoman"/>
          <w:sz w:val="32"/>
          <w:szCs w:val="32"/>
        </w:rPr>
        <w:t>%。</w:t>
      </w:r>
      <w:r>
        <w:rPr>
          <w:rFonts w:hint="eastAsia" w:ascii="仿宋_GB2312" w:hAnsi="TimesNewRoman" w:eastAsia="仿宋_GB2312" w:cs="TimesNewRoman"/>
          <w:sz w:val="32"/>
          <w:szCs w:val="32"/>
          <w:lang w:val="en-US" w:eastAsia="zh-CN"/>
        </w:rPr>
        <w:t>原因主要是：</w:t>
      </w:r>
      <w:r>
        <w:rPr>
          <w:rFonts w:hint="eastAsia" w:ascii="仿宋" w:hAnsi="仿宋" w:eastAsia="仿宋"/>
          <w:sz w:val="32"/>
          <w:szCs w:val="32"/>
        </w:rPr>
        <w:t>未安排“三公”经费支出</w:t>
      </w:r>
      <w:r>
        <w:rPr>
          <w:rFonts w:hint="eastAsia" w:ascii="仿宋" w:hAnsi="仿宋" w:eastAsia="仿宋"/>
          <w:sz w:val="32"/>
          <w:szCs w:val="32"/>
          <w:lang w:eastAsia="zh-CN"/>
        </w:rPr>
        <w:t>。</w:t>
      </w:r>
      <w:r>
        <w:rPr>
          <w:rFonts w:hint="eastAsia" w:ascii="仿宋_GB2312" w:hAnsi="TimesNewRoman" w:eastAsia="仿宋_GB2312" w:cs="TimesNewRoman"/>
          <w:sz w:val="32"/>
          <w:szCs w:val="32"/>
        </w:rPr>
        <w:t>经费使用严格执行《寿县党政机关因公临时出国经费管理办法的通知》（财行〔2016〕29号)相关规定。</w:t>
      </w:r>
    </w:p>
    <w:p w14:paraId="2CEF1A97">
      <w:pPr>
        <w:pStyle w:val="15"/>
        <w:spacing w:beforeAutospacing="0" w:afterAutospacing="0" w:line="560" w:lineRule="exact"/>
        <w:ind w:firstLine="640" w:firstLineChars="200"/>
        <w:rPr>
          <w:rFonts w:hint="eastAsia" w:ascii="仿宋_GB2312" w:hAnsi="TimesNewRoman" w:eastAsia="仿宋_GB2312" w:cs="TimesNewRoman"/>
          <w:sz w:val="32"/>
          <w:szCs w:val="32"/>
        </w:rPr>
      </w:pPr>
      <w:r>
        <w:rPr>
          <w:rFonts w:ascii="仿宋_GB2312" w:hAnsi="TimesNewRoman" w:eastAsia="仿宋_GB2312" w:cs="TimesNewRoman"/>
          <w:sz w:val="32"/>
          <w:szCs w:val="32"/>
        </w:rPr>
        <w:t>（二）公务用车购置及运行费支出预算</w:t>
      </w:r>
      <w:r>
        <w:rPr>
          <w:rFonts w:hint="eastAsia" w:ascii="仿宋_GB2312" w:hAnsi="TimesNewRoman" w:eastAsia="仿宋_GB2312" w:cs="TimesNewRoman"/>
          <w:sz w:val="32"/>
          <w:szCs w:val="32"/>
        </w:rPr>
        <w:t>0</w:t>
      </w:r>
      <w:r>
        <w:rPr>
          <w:rFonts w:ascii="仿宋_GB2312" w:hAnsi="TimesNewRoman" w:eastAsia="仿宋_GB2312" w:cs="TimesNewRoman"/>
          <w:sz w:val="32"/>
          <w:szCs w:val="32"/>
        </w:rPr>
        <w:t>万元，比</w:t>
      </w:r>
      <w:r>
        <w:rPr>
          <w:rFonts w:hint="eastAsia" w:ascii="仿宋_GB2312" w:hAnsi="TimesNewRoman" w:eastAsia="仿宋_GB2312" w:cs="TimesNewRoman"/>
          <w:sz w:val="32"/>
          <w:szCs w:val="32"/>
        </w:rPr>
        <w:t>2025</w:t>
      </w:r>
      <w:r>
        <w:rPr>
          <w:rFonts w:ascii="仿宋_GB2312" w:hAnsi="TimesNewRoman" w:eastAsia="仿宋_GB2312" w:cs="TimesNewRoman"/>
          <w:sz w:val="32"/>
          <w:szCs w:val="32"/>
        </w:rPr>
        <w:t>年</w:t>
      </w:r>
      <w:r>
        <w:rPr>
          <w:rFonts w:ascii="TimesNewRoman" w:hAnsi="TimesNewRoman" w:eastAsia="仿宋_GB2312" w:cs="TimesNewRoman"/>
          <w:sz w:val="32"/>
          <w:szCs w:val="32"/>
        </w:rPr>
        <w:t>预算增加</w:t>
      </w:r>
      <w:r>
        <w:rPr>
          <w:rFonts w:hint="eastAsia" w:ascii="TimesNewRoman" w:hAnsi="TimesNewRoman" w:eastAsia="仿宋_GB2312" w:cs="TimesNewRoman"/>
          <w:sz w:val="32"/>
          <w:szCs w:val="32"/>
        </w:rPr>
        <w:t>0</w:t>
      </w:r>
      <w:r>
        <w:rPr>
          <w:rFonts w:hint="eastAsia" w:ascii="仿宋_GB2312" w:hAnsi="TimesNewRoman" w:eastAsia="仿宋_GB2312" w:cs="TimesNewRoman"/>
          <w:sz w:val="32"/>
          <w:szCs w:val="32"/>
        </w:rPr>
        <w:t>万元，增长0%。其中：公务用车运行费0万元，比2025年预算增加0万元，增长0%，</w:t>
      </w:r>
      <w:r>
        <w:rPr>
          <w:rFonts w:hint="eastAsia" w:ascii="仿宋_GB2312" w:hAnsi="TimesNewRoman" w:eastAsia="仿宋_GB2312" w:cs="TimesNewRoman"/>
          <w:sz w:val="32"/>
          <w:szCs w:val="32"/>
          <w:lang w:val="en-US" w:eastAsia="zh-CN"/>
        </w:rPr>
        <w:t>原因主要是：</w:t>
      </w:r>
      <w:r>
        <w:rPr>
          <w:rFonts w:hint="eastAsia" w:ascii="仿宋" w:hAnsi="仿宋" w:eastAsia="仿宋"/>
          <w:sz w:val="32"/>
          <w:szCs w:val="32"/>
        </w:rPr>
        <w:t>未安排“三公”经费支出</w:t>
      </w:r>
      <w:r>
        <w:rPr>
          <w:rFonts w:hint="eastAsia" w:ascii="仿宋_GB2312" w:hAnsi="TimesNewRoman" w:eastAsia="仿宋_GB2312" w:cs="TimesNewRoman"/>
          <w:sz w:val="32"/>
          <w:szCs w:val="32"/>
        </w:rPr>
        <w:t>。公务用车购置费0万元，比2025年预算增加0万元，增长0%，</w:t>
      </w:r>
      <w:r>
        <w:rPr>
          <w:rFonts w:hint="eastAsia" w:ascii="仿宋_GB2312" w:hAnsi="TimesNewRoman" w:eastAsia="仿宋_GB2312" w:cs="TimesNewRoman"/>
          <w:sz w:val="32"/>
          <w:szCs w:val="32"/>
          <w:lang w:val="en-US" w:eastAsia="zh-CN"/>
        </w:rPr>
        <w:t>原因主要是：</w:t>
      </w:r>
      <w:r>
        <w:rPr>
          <w:rFonts w:hint="eastAsia" w:ascii="仿宋" w:hAnsi="仿宋" w:eastAsia="仿宋"/>
          <w:sz w:val="32"/>
          <w:szCs w:val="32"/>
        </w:rPr>
        <w:t>未安排“三公”经费支出</w:t>
      </w:r>
      <w:r>
        <w:rPr>
          <w:rFonts w:hint="eastAsia" w:ascii="仿宋_GB2312" w:hAnsi="TimesNewRoman" w:eastAsia="仿宋_GB2312" w:cs="TimesNewRoman"/>
          <w:sz w:val="32"/>
          <w:szCs w:val="32"/>
        </w:rPr>
        <w:t>。</w:t>
      </w:r>
    </w:p>
    <w:p w14:paraId="494D6CEA">
      <w:pPr>
        <w:pStyle w:val="15"/>
        <w:spacing w:beforeAutospacing="0" w:afterAutospacing="0" w:line="560" w:lineRule="exact"/>
        <w:ind w:firstLine="480" w:firstLineChars="150"/>
        <w:jc w:val="both"/>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rPr>
        <w:t>（三）公务接待费</w:t>
      </w:r>
      <w:r>
        <w:rPr>
          <w:rFonts w:hint="eastAsia" w:ascii="仿宋_GB2312" w:hAnsi="TimesNewRoman" w:eastAsia="仿宋_GB2312" w:cs="TimesNewRoman"/>
          <w:sz w:val="32"/>
          <w:szCs w:val="32"/>
        </w:rPr>
        <w:t>支出预算0万元，比2025年预算增加0万元，增长0%，</w:t>
      </w:r>
      <w:r>
        <w:rPr>
          <w:rFonts w:hint="eastAsia" w:ascii="仿宋_GB2312" w:hAnsi="TimesNewRoman" w:eastAsia="仿宋_GB2312" w:cs="TimesNewRoman"/>
          <w:sz w:val="32"/>
          <w:szCs w:val="32"/>
          <w:lang w:val="en-US" w:eastAsia="zh-CN"/>
        </w:rPr>
        <w:t>原因主要是：</w:t>
      </w:r>
      <w:r>
        <w:rPr>
          <w:rFonts w:hint="eastAsia" w:ascii="仿宋" w:hAnsi="仿宋" w:eastAsia="仿宋"/>
          <w:sz w:val="32"/>
          <w:szCs w:val="32"/>
        </w:rPr>
        <w:t>未安排“三公”经费支出</w:t>
      </w:r>
      <w:r>
        <w:rPr>
          <w:rFonts w:hint="eastAsia" w:ascii="仿宋" w:hAnsi="仿宋" w:eastAsia="仿宋"/>
          <w:sz w:val="32"/>
          <w:szCs w:val="32"/>
          <w:lang w:eastAsia="zh-CN"/>
        </w:rPr>
        <w:t>。</w:t>
      </w:r>
      <w:r>
        <w:rPr>
          <w:rFonts w:hint="eastAsia" w:ascii="仿宋_GB2312" w:hAnsi="TimesNewRoman" w:eastAsia="仿宋_GB2312" w:cs="TimesNewRoman"/>
          <w:sz w:val="32"/>
          <w:szCs w:val="32"/>
        </w:rPr>
        <w:t>经费使用严格执行《党政机关厉行节约反对浪费条例》</w:t>
      </w:r>
      <w:r>
        <w:rPr>
          <w:rFonts w:hint="eastAsia" w:ascii="仿宋_GB2312" w:hAnsi="仿宋" w:eastAsia="仿宋_GB2312"/>
          <w:color w:val="000000"/>
          <w:sz w:val="32"/>
          <w:szCs w:val="32"/>
        </w:rPr>
        <w:t>（中发〔2013〕13号）</w:t>
      </w:r>
      <w:r>
        <w:rPr>
          <w:rFonts w:hint="eastAsia" w:ascii="仿宋_GB2312" w:hAnsi="TimesNewRoman" w:eastAsia="仿宋_GB2312" w:cs="TimesNewRoman"/>
          <w:sz w:val="32"/>
          <w:szCs w:val="32"/>
        </w:rPr>
        <w:t>和</w:t>
      </w:r>
      <w:r>
        <w:rPr>
          <w:rFonts w:hint="eastAsia" w:ascii="仿宋_GB2312" w:hAnsi="仿宋" w:eastAsia="仿宋_GB2312"/>
          <w:color w:val="000000"/>
          <w:sz w:val="32"/>
          <w:szCs w:val="32"/>
        </w:rPr>
        <w:t>《寿县党政机关公务接待管理规定</w:t>
      </w:r>
      <w:r>
        <w:rPr>
          <w:rFonts w:hint="eastAsia" w:ascii="仿宋_GB2312" w:hAnsi="TimesNewRoman" w:eastAsia="仿宋_GB2312" w:cs="TimesNewRoman"/>
          <w:sz w:val="32"/>
          <w:szCs w:val="32"/>
        </w:rPr>
        <w:t>》</w:t>
      </w:r>
      <w:r>
        <w:rPr>
          <w:rFonts w:hint="eastAsia" w:ascii="仿宋_GB2312" w:hAnsi="仿宋" w:eastAsia="仿宋_GB2312"/>
          <w:color w:val="000000"/>
          <w:sz w:val="32"/>
          <w:szCs w:val="32"/>
        </w:rPr>
        <w:t>（寿办发〔2015〕2号）规定。</w:t>
      </w:r>
    </w:p>
    <w:p w14:paraId="33144842">
      <w:pPr>
        <w:pStyle w:val="15"/>
        <w:topLinePunct/>
        <w:spacing w:beforeAutospacing="0" w:afterAutospacing="0" w:line="560" w:lineRule="exact"/>
        <w:ind w:firstLine="640"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十三、其他重要事项情况说明</w:t>
      </w:r>
    </w:p>
    <w:p w14:paraId="3E80AEB7">
      <w:pPr>
        <w:topLinePunct/>
        <w:spacing w:line="560" w:lineRule="exact"/>
        <w:ind w:firstLine="640"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（一）项目及绩效目标情况。</w:t>
      </w:r>
    </w:p>
    <w:p w14:paraId="3C8411F7">
      <w:pPr>
        <w:topLinePunct/>
        <w:spacing w:line="560" w:lineRule="exact"/>
        <w:ind w:firstLine="640"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1.“三年过度安置人员补助”项目。</w:t>
      </w:r>
    </w:p>
    <w:p w14:paraId="41EA5B53">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（1）项目概述。</w:t>
      </w:r>
      <w:r>
        <w:rPr>
          <w:rFonts w:ascii="仿宋_GB2312" w:hAnsi="仿宋_GB2312" w:eastAsia="仿宋_GB2312" w:cs="仿宋_GB2312"/>
          <w:i w:val="0"/>
          <w:strike w:val="0"/>
          <w:color w:val="000000"/>
          <w:sz w:val="32"/>
          <w:u w:val="none"/>
        </w:rPr>
        <w:t>履行医疗卫生服务职能，发挥基层医疗卫生枢纽作用，做好医疗卫生服务，推动基层医疗卫生事业发展。</w:t>
      </w:r>
    </w:p>
    <w:p w14:paraId="0FFDBA61">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（2）立项依据。</w:t>
      </w:r>
      <w:r>
        <w:rPr>
          <w:rFonts w:ascii="仿宋_GB2312" w:hAnsi="仿宋_GB2312" w:eastAsia="仿宋_GB2312" w:cs="仿宋_GB2312"/>
          <w:i w:val="0"/>
          <w:strike w:val="0"/>
          <w:color w:val="000000"/>
          <w:sz w:val="32"/>
          <w:u w:val="none"/>
        </w:rPr>
        <w:t>寿县众兴镇卫生院为基层医疗卫生机构，依据202</w:t>
      </w:r>
      <w:r>
        <w:rPr>
          <w:rFonts w:hint="eastAsia" w:ascii="仿宋_GB2312" w:hAnsi="仿宋_GB2312" w:eastAsia="仿宋_GB2312" w:cs="仿宋_GB2312"/>
          <w:i w:val="0"/>
          <w:strike w:val="0"/>
          <w:color w:val="000000"/>
          <w:sz w:val="32"/>
          <w:u w:val="none"/>
        </w:rPr>
        <w:t>6</w:t>
      </w:r>
      <w:r>
        <w:rPr>
          <w:rFonts w:ascii="仿宋_GB2312" w:hAnsi="仿宋_GB2312" w:eastAsia="仿宋_GB2312" w:cs="仿宋_GB2312"/>
          <w:i w:val="0"/>
          <w:strike w:val="0"/>
          <w:color w:val="000000"/>
          <w:sz w:val="32"/>
          <w:u w:val="none"/>
        </w:rPr>
        <w:t>年人员经费审批花名册。</w:t>
      </w:r>
    </w:p>
    <w:p w14:paraId="6CADE425">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（3）实施主体。</w:t>
      </w:r>
      <w:r>
        <w:rPr>
          <w:rFonts w:ascii="仿宋_GB2312" w:hAnsi="仿宋_GB2312" w:eastAsia="仿宋_GB2312" w:cs="仿宋_GB2312"/>
          <w:i w:val="0"/>
          <w:strike w:val="0"/>
          <w:color w:val="000000"/>
          <w:sz w:val="32"/>
          <w:u w:val="none"/>
        </w:rPr>
        <w:t>寿县众兴镇卫生院</w:t>
      </w:r>
    </w:p>
    <w:p w14:paraId="7EB1942C">
      <w:pPr>
        <w:pBdr>
          <w:bottom w:val="none" w:color="auto" w:sz="0" w:space="0"/>
        </w:pBdr>
        <w:snapToGrid/>
        <w:spacing w:line="600" w:lineRule="exact"/>
        <w:ind w:firstLine="585" w:firstLineChars="183"/>
      </w:pPr>
      <w:r>
        <w:rPr>
          <w:rFonts w:hint="eastAsia" w:ascii="仿宋_GB2312" w:hAnsi="TimesNewRoman" w:eastAsia="仿宋_GB2312" w:cs="TimesNewRoman"/>
          <w:sz w:val="32"/>
          <w:szCs w:val="32"/>
        </w:rPr>
        <w:t>（4）起止时间。</w:t>
      </w:r>
      <w:r>
        <w:rPr>
          <w:rFonts w:ascii="仿宋_GB2312" w:hAnsi="仿宋_GB2312" w:eastAsia="仿宋_GB2312" w:cs="仿宋_GB2312"/>
          <w:i w:val="0"/>
          <w:strike w:val="0"/>
          <w:color w:val="000000"/>
          <w:sz w:val="32"/>
          <w:u w:val="none"/>
        </w:rPr>
        <w:t>202</w:t>
      </w:r>
      <w:r>
        <w:rPr>
          <w:rFonts w:hint="eastAsia" w:ascii="仿宋_GB2312" w:hAnsi="仿宋_GB2312" w:eastAsia="仿宋_GB2312" w:cs="仿宋_GB2312"/>
          <w:i w:val="0"/>
          <w:strike w:val="0"/>
          <w:color w:val="000000"/>
          <w:sz w:val="32"/>
          <w:u w:val="none"/>
        </w:rPr>
        <w:t>6</w:t>
      </w:r>
      <w:r>
        <w:rPr>
          <w:rFonts w:ascii="仿宋_GB2312" w:hAnsi="仿宋_GB2312" w:eastAsia="仿宋_GB2312" w:cs="仿宋_GB2312"/>
          <w:i w:val="0"/>
          <w:strike w:val="0"/>
          <w:color w:val="000000"/>
          <w:sz w:val="32"/>
          <w:u w:val="none"/>
        </w:rPr>
        <w:t>年1月1日至202</w:t>
      </w:r>
      <w:r>
        <w:rPr>
          <w:rFonts w:hint="eastAsia" w:ascii="仿宋_GB2312" w:hAnsi="仿宋_GB2312" w:eastAsia="仿宋_GB2312" w:cs="仿宋_GB2312"/>
          <w:i w:val="0"/>
          <w:strike w:val="0"/>
          <w:color w:val="000000"/>
          <w:sz w:val="32"/>
          <w:u w:val="none"/>
        </w:rPr>
        <w:t>6</w:t>
      </w:r>
      <w:r>
        <w:rPr>
          <w:rFonts w:ascii="仿宋_GB2312" w:hAnsi="仿宋_GB2312" w:eastAsia="仿宋_GB2312" w:cs="仿宋_GB2312"/>
          <w:i w:val="0"/>
          <w:strike w:val="0"/>
          <w:color w:val="000000"/>
          <w:sz w:val="32"/>
          <w:u w:val="none"/>
        </w:rPr>
        <w:t>年12月31日。</w:t>
      </w:r>
    </w:p>
    <w:p w14:paraId="1858FF0F">
      <w:pPr>
        <w:pBdr>
          <w:bottom w:val="none" w:color="auto" w:sz="0" w:space="0"/>
        </w:pBd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（5）项目内容。</w:t>
      </w:r>
      <w:r>
        <w:rPr>
          <w:rFonts w:ascii="仿宋_GB2312" w:hAnsi="仿宋_GB2312" w:eastAsia="仿宋_GB2312" w:cs="仿宋_GB2312"/>
          <w:i w:val="0"/>
          <w:strike w:val="0"/>
          <w:color w:val="000000"/>
          <w:sz w:val="32"/>
          <w:u w:val="none"/>
        </w:rPr>
        <w:t>主要用于支付三年过渡安置人员补助</w:t>
      </w:r>
      <w:r>
        <w:rPr>
          <w:rFonts w:hint="eastAsia" w:ascii="仿宋_GB2312" w:hAnsi="仿宋_GB2312" w:eastAsia="仿宋_GB2312" w:cs="仿宋_GB2312"/>
          <w:i w:val="0"/>
          <w:strike w:val="0"/>
          <w:color w:val="000000"/>
          <w:sz w:val="32"/>
          <w:u w:val="none"/>
        </w:rPr>
        <w:t>。</w:t>
      </w:r>
    </w:p>
    <w:p w14:paraId="57DAE8CB">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（6）年度预算安排。5.44万元。</w:t>
      </w:r>
    </w:p>
    <w:p w14:paraId="2900E81F">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（7）绩效目标。</w:t>
      </w:r>
      <w:r>
        <w:rPr>
          <w:rFonts w:ascii="仿宋_GB2312" w:hAnsi="仿宋_GB2312" w:eastAsia="仿宋_GB2312" w:cs="仿宋_GB2312"/>
          <w:i w:val="0"/>
          <w:strike w:val="0"/>
          <w:color w:val="333333"/>
          <w:sz w:val="32"/>
          <w:u w:val="none"/>
        </w:rPr>
        <w:t>完成年度三年过渡安置人员工资发放</w:t>
      </w:r>
      <w:r>
        <w:rPr>
          <w:rFonts w:hint="eastAsia" w:ascii="仿宋_GB2312" w:hAnsi="仿宋_GB2312" w:eastAsia="仿宋_GB2312" w:cs="仿宋_GB2312"/>
          <w:i w:val="0"/>
          <w:strike w:val="0"/>
          <w:color w:val="333333"/>
          <w:sz w:val="32"/>
          <w:u w:val="none"/>
        </w:rPr>
        <w:t>。</w:t>
      </w:r>
    </w:p>
    <w:p w14:paraId="2C70BB98">
      <w:pPr>
        <w:topLinePunct/>
        <w:spacing w:line="560" w:lineRule="exact"/>
        <w:rPr>
          <w:rFonts w:hint="eastAsia" w:ascii="仿宋_GB2312" w:hAnsi="楷体" w:eastAsia="仿宋_GB2312"/>
          <w:sz w:val="32"/>
          <w:szCs w:val="32"/>
        </w:rPr>
      </w:pPr>
      <w:bookmarkStart w:id="12" w:name="_GoBack"/>
      <w:bookmarkEnd w:id="12"/>
    </w:p>
    <w:tbl>
      <w:tblPr>
        <w:tblStyle w:val="18"/>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6EA64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vAlign w:val="center"/>
          </w:tcPr>
          <w:p w14:paraId="0DD8067A">
            <w:pPr>
              <w:widowControl/>
              <w:jc w:val="center"/>
              <w:rPr>
                <w:rFonts w:hint="eastAsia" w:ascii="方正小标宋_GBK" w:eastAsia="方正小标宋_GBK" w:cs="宋体"/>
                <w:bCs/>
                <w:szCs w:val="32"/>
              </w:rPr>
            </w:pPr>
            <w:r>
              <w:rPr>
                <w:rFonts w:hint="eastAsia" w:ascii="方正小标宋_GBK" w:hAnsi="宋体" w:eastAsia="方正小标宋_GBK" w:cs="宋体"/>
                <w:color w:val="000000"/>
                <w:kern w:val="0"/>
                <w:sz w:val="28"/>
                <w:szCs w:val="28"/>
                <w:lang w:bidi="ar"/>
              </w:rPr>
              <w:t>项目支出绩效目标表</w:t>
            </w:r>
          </w:p>
        </w:tc>
      </w:tr>
      <w:tr w14:paraId="71415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vAlign w:val="center"/>
          </w:tcPr>
          <w:p w14:paraId="2EF3E590">
            <w:pPr>
              <w:widowControl/>
              <w:jc w:val="center"/>
              <w:rPr>
                <w:rFonts w:ascii="宋体" w:cs="宋体"/>
                <w:sz w:val="20"/>
              </w:rPr>
            </w:pPr>
            <w:r>
              <w:rPr>
                <w:rFonts w:hint="eastAsia" w:ascii="宋体" w:hAnsi="宋体" w:cs="宋体"/>
                <w:color w:val="000000"/>
                <w:kern w:val="0"/>
                <w:sz w:val="20"/>
                <w:szCs w:val="20"/>
                <w:lang w:bidi="ar"/>
              </w:rPr>
              <w:t xml:space="preserve"> （2026年度）                                </w:t>
            </w:r>
          </w:p>
        </w:tc>
      </w:tr>
      <w:tr w14:paraId="078AD7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Align w:val="center"/>
          </w:tcPr>
          <w:p w14:paraId="6542398C">
            <w:pPr>
              <w:spacing w:line="260" w:lineRule="exact"/>
              <w:jc w:val="center"/>
              <w:rPr>
                <w:rFonts w:ascii="宋体" w:cs="宋体"/>
                <w:sz w:val="18"/>
                <w:szCs w:val="18"/>
              </w:rPr>
            </w:pPr>
            <w:r>
              <w:rPr>
                <w:rFonts w:hint="eastAsia" w:ascii="宋体" w:hAnsi="宋体" w:cs="宋体"/>
                <w:color w:val="000000"/>
                <w:kern w:val="0"/>
                <w:sz w:val="18"/>
                <w:szCs w:val="18"/>
                <w:lang w:bidi="ar"/>
              </w:rPr>
              <w:t>项目名称</w:t>
            </w:r>
          </w:p>
        </w:tc>
        <w:tc>
          <w:tcPr>
            <w:tcW w:w="7577" w:type="dxa"/>
            <w:gridSpan w:val="4"/>
            <w:vAlign w:val="center"/>
          </w:tcPr>
          <w:p w14:paraId="60EBE1D2">
            <w:pPr>
              <w:spacing w:line="260" w:lineRule="exact"/>
              <w:jc w:val="center"/>
              <w:rPr>
                <w:rFonts w:ascii="宋体" w:cs="宋体"/>
                <w:sz w:val="18"/>
                <w:szCs w:val="18"/>
              </w:rPr>
            </w:pPr>
            <w:r>
              <w:rPr>
                <w:rFonts w:ascii="宋体" w:hAnsi="宋体" w:eastAsia="宋体" w:cs="宋体"/>
                <w:i w:val="0"/>
                <w:strike w:val="0"/>
                <w:color w:val="000000"/>
                <w:sz w:val="18"/>
                <w:u w:val="none"/>
              </w:rPr>
              <w:t>三年过渡安置人员补助</w:t>
            </w:r>
          </w:p>
        </w:tc>
      </w:tr>
      <w:tr w14:paraId="2F15C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trPr>
        <w:tc>
          <w:tcPr>
            <w:tcW w:w="1443" w:type="dxa"/>
            <w:gridSpan w:val="3"/>
            <w:vAlign w:val="center"/>
          </w:tcPr>
          <w:p w14:paraId="52EABC6A">
            <w:pPr>
              <w:spacing w:line="260" w:lineRule="exact"/>
              <w:jc w:val="center"/>
              <w:rPr>
                <w:rFonts w:ascii="宋体" w:cs="宋体"/>
                <w:sz w:val="18"/>
                <w:szCs w:val="18"/>
              </w:rPr>
            </w:pPr>
            <w:r>
              <w:rPr>
                <w:rFonts w:hint="eastAsia" w:ascii="宋体" w:hAnsi="宋体" w:cs="宋体"/>
                <w:color w:val="000000"/>
                <w:kern w:val="0"/>
                <w:sz w:val="18"/>
                <w:szCs w:val="18"/>
                <w:lang w:bidi="ar"/>
              </w:rPr>
              <w:t>主管部门    及代码</w:t>
            </w:r>
          </w:p>
        </w:tc>
        <w:tc>
          <w:tcPr>
            <w:tcW w:w="3349" w:type="dxa"/>
            <w:gridSpan w:val="2"/>
            <w:vAlign w:val="center"/>
          </w:tcPr>
          <w:p w14:paraId="7F2A9485">
            <w:pPr>
              <w:spacing w:line="260" w:lineRule="exact"/>
              <w:jc w:val="center"/>
              <w:rPr>
                <w:rFonts w:ascii="宋体" w:cs="宋体"/>
                <w:sz w:val="18"/>
                <w:szCs w:val="18"/>
              </w:rPr>
            </w:pPr>
            <w:r>
              <w:rPr>
                <w:rFonts w:ascii="宋体" w:hAnsi="宋体" w:eastAsia="宋体" w:cs="宋体"/>
                <w:i w:val="0"/>
                <w:strike w:val="0"/>
                <w:color w:val="000000"/>
                <w:sz w:val="18"/>
                <w:u w:val="none"/>
              </w:rPr>
              <w:t>寿县卫生健康委员会153032</w:t>
            </w:r>
          </w:p>
        </w:tc>
        <w:tc>
          <w:tcPr>
            <w:tcW w:w="1848" w:type="dxa"/>
            <w:vAlign w:val="center"/>
          </w:tcPr>
          <w:p w14:paraId="361410F4">
            <w:pPr>
              <w:spacing w:line="260" w:lineRule="exact"/>
              <w:jc w:val="center"/>
              <w:rPr>
                <w:sz w:val="18"/>
                <w:szCs w:val="18"/>
              </w:rPr>
            </w:pPr>
            <w:r>
              <w:rPr>
                <w:rFonts w:hint="eastAsia" w:ascii="宋体" w:hAnsi="宋体" w:cs="宋体"/>
                <w:color w:val="000000"/>
                <w:kern w:val="0"/>
                <w:sz w:val="18"/>
                <w:szCs w:val="18"/>
                <w:lang w:bidi="ar"/>
              </w:rPr>
              <w:t>实施单位</w:t>
            </w:r>
          </w:p>
        </w:tc>
        <w:tc>
          <w:tcPr>
            <w:tcW w:w="2380" w:type="dxa"/>
            <w:vAlign w:val="center"/>
          </w:tcPr>
          <w:p w14:paraId="7F8C0137">
            <w:pPr>
              <w:spacing w:line="260" w:lineRule="exact"/>
              <w:jc w:val="center"/>
              <w:rPr>
                <w:sz w:val="18"/>
                <w:szCs w:val="18"/>
              </w:rPr>
            </w:pPr>
            <w:r>
              <w:rPr>
                <w:rFonts w:ascii="宋体" w:hAnsi="宋体" w:eastAsia="宋体" w:cs="宋体"/>
                <w:i w:val="0"/>
                <w:strike w:val="0"/>
                <w:color w:val="000000"/>
                <w:sz w:val="18"/>
                <w:u w:val="none"/>
              </w:rPr>
              <w:t>寿县众兴镇卫生院</w:t>
            </w:r>
          </w:p>
        </w:tc>
      </w:tr>
      <w:tr w14:paraId="03E7C5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Align w:val="center"/>
          </w:tcPr>
          <w:p w14:paraId="3FE99671">
            <w:pPr>
              <w:spacing w:line="260" w:lineRule="exact"/>
              <w:jc w:val="center"/>
              <w:rPr>
                <w:rFonts w:ascii="宋体" w:cs="宋体"/>
                <w:sz w:val="18"/>
                <w:szCs w:val="18"/>
              </w:rPr>
            </w:pPr>
            <w:r>
              <w:rPr>
                <w:rFonts w:hint="eastAsia" w:ascii="宋体" w:hAnsi="宋体" w:cs="宋体"/>
                <w:color w:val="000000"/>
                <w:kern w:val="0"/>
                <w:sz w:val="18"/>
                <w:szCs w:val="18"/>
                <w:lang w:bidi="ar"/>
              </w:rPr>
              <w:t>项目来源</w:t>
            </w:r>
          </w:p>
        </w:tc>
        <w:tc>
          <w:tcPr>
            <w:tcW w:w="3349" w:type="dxa"/>
            <w:gridSpan w:val="2"/>
            <w:vAlign w:val="center"/>
          </w:tcPr>
          <w:p w14:paraId="74D162A9">
            <w:pPr>
              <w:spacing w:line="260" w:lineRule="exact"/>
              <w:jc w:val="center"/>
              <w:rPr>
                <w:rFonts w:ascii="宋体" w:cs="宋体"/>
                <w:sz w:val="18"/>
                <w:szCs w:val="18"/>
              </w:rPr>
            </w:pPr>
            <w:r>
              <w:rPr>
                <w:rFonts w:ascii="宋体" w:hAnsi="宋体" w:eastAsia="宋体" w:cs="宋体"/>
                <w:i w:val="0"/>
                <w:strike w:val="0"/>
                <w:color w:val="000000"/>
                <w:sz w:val="18"/>
                <w:u w:val="none"/>
              </w:rPr>
              <w:t>一般公共预算</w:t>
            </w:r>
          </w:p>
        </w:tc>
        <w:tc>
          <w:tcPr>
            <w:tcW w:w="1848" w:type="dxa"/>
            <w:vAlign w:val="center"/>
          </w:tcPr>
          <w:p w14:paraId="0A9C313E">
            <w:pPr>
              <w:spacing w:line="260" w:lineRule="exact"/>
              <w:jc w:val="center"/>
              <w:rPr>
                <w:sz w:val="18"/>
                <w:szCs w:val="18"/>
              </w:rPr>
            </w:pPr>
            <w:r>
              <w:rPr>
                <w:rFonts w:hint="eastAsia" w:ascii="宋体" w:hAnsi="宋体" w:cs="宋体"/>
                <w:color w:val="000000"/>
                <w:kern w:val="0"/>
                <w:sz w:val="18"/>
                <w:szCs w:val="18"/>
                <w:lang w:bidi="ar"/>
              </w:rPr>
              <w:t>项目期</w:t>
            </w:r>
          </w:p>
        </w:tc>
        <w:tc>
          <w:tcPr>
            <w:tcW w:w="2380" w:type="dxa"/>
            <w:vAlign w:val="center"/>
          </w:tcPr>
          <w:p w14:paraId="5D0ED665">
            <w:pPr>
              <w:spacing w:line="260" w:lineRule="exact"/>
              <w:jc w:val="center"/>
              <w:rPr>
                <w:sz w:val="18"/>
                <w:szCs w:val="18"/>
              </w:rPr>
            </w:pPr>
            <w:r>
              <w:rPr>
                <w:rFonts w:ascii="Times New Roman" w:hAnsi="Times New Roman" w:cs="Times New Roman"/>
                <w:i w:val="0"/>
                <w:strike w:val="0"/>
                <w:color w:val="000000"/>
                <w:sz w:val="18"/>
                <w:u w:val="none"/>
              </w:rPr>
              <w:t>202</w:t>
            </w:r>
            <w:r>
              <w:rPr>
                <w:rFonts w:hint="eastAsia" w:ascii="Times New Roman" w:hAnsi="Times New Roman" w:cs="Times New Roman"/>
                <w:i w:val="0"/>
                <w:strike w:val="0"/>
                <w:color w:val="000000"/>
                <w:sz w:val="18"/>
                <w:u w:val="none"/>
              </w:rPr>
              <w:t>6</w:t>
            </w:r>
            <w:r>
              <w:rPr>
                <w:rFonts w:ascii="Times New Roman" w:hAnsi="Times New Roman" w:cs="Times New Roman"/>
                <w:i w:val="0"/>
                <w:strike w:val="0"/>
                <w:color w:val="000000"/>
                <w:sz w:val="18"/>
                <w:u w:val="none"/>
              </w:rPr>
              <w:t>.01-202</w:t>
            </w:r>
            <w:r>
              <w:rPr>
                <w:rFonts w:hint="eastAsia" w:ascii="Times New Roman" w:hAnsi="Times New Roman" w:cs="Times New Roman"/>
                <w:i w:val="0"/>
                <w:strike w:val="0"/>
                <w:color w:val="000000"/>
                <w:sz w:val="18"/>
                <w:u w:val="none"/>
              </w:rPr>
              <w:t>6</w:t>
            </w:r>
            <w:r>
              <w:rPr>
                <w:rFonts w:ascii="Times New Roman" w:hAnsi="Times New Roman" w:cs="Times New Roman"/>
                <w:i w:val="0"/>
                <w:strike w:val="0"/>
                <w:color w:val="000000"/>
                <w:sz w:val="18"/>
                <w:u w:val="none"/>
              </w:rPr>
              <w:t>.12</w:t>
            </w:r>
          </w:p>
        </w:tc>
      </w:tr>
      <w:tr w14:paraId="37D515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Merge w:val="restart"/>
            <w:vAlign w:val="center"/>
          </w:tcPr>
          <w:p w14:paraId="52E1F00E">
            <w:pPr>
              <w:spacing w:line="260" w:lineRule="exact"/>
              <w:jc w:val="center"/>
              <w:rPr>
                <w:rFonts w:ascii="宋体" w:cs="宋体"/>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（万元）</w:t>
            </w:r>
          </w:p>
        </w:tc>
        <w:tc>
          <w:tcPr>
            <w:tcW w:w="3349" w:type="dxa"/>
            <w:gridSpan w:val="2"/>
            <w:vAlign w:val="center"/>
          </w:tcPr>
          <w:p w14:paraId="5EB49039">
            <w:pPr>
              <w:spacing w:line="260" w:lineRule="exact"/>
              <w:jc w:val="left"/>
              <w:rPr>
                <w:rFonts w:ascii="宋体" w:cs="宋体"/>
                <w:sz w:val="18"/>
                <w:szCs w:val="18"/>
              </w:rPr>
            </w:pPr>
            <w:r>
              <w:rPr>
                <w:rFonts w:hint="eastAsia" w:ascii="宋体" w:hAnsi="宋体" w:cs="宋体"/>
                <w:color w:val="000000"/>
                <w:kern w:val="0"/>
                <w:sz w:val="18"/>
                <w:szCs w:val="18"/>
                <w:lang w:bidi="ar"/>
              </w:rPr>
              <w:t xml:space="preserve"> 年度资金总额：</w:t>
            </w:r>
          </w:p>
        </w:tc>
        <w:tc>
          <w:tcPr>
            <w:tcW w:w="4228" w:type="dxa"/>
            <w:gridSpan w:val="2"/>
            <w:vAlign w:val="center"/>
          </w:tcPr>
          <w:p w14:paraId="710CC253">
            <w:pPr>
              <w:spacing w:line="260" w:lineRule="exact"/>
              <w:jc w:val="center"/>
              <w:rPr>
                <w:rFonts w:ascii="宋体" w:cs="宋体"/>
                <w:sz w:val="18"/>
                <w:szCs w:val="18"/>
              </w:rPr>
            </w:pPr>
            <w:r>
              <w:rPr>
                <w:rFonts w:hint="eastAsia" w:ascii="宋体" w:cs="宋体"/>
                <w:sz w:val="18"/>
                <w:szCs w:val="18"/>
              </w:rPr>
              <w:t>5.44</w:t>
            </w:r>
          </w:p>
        </w:tc>
      </w:tr>
      <w:tr w14:paraId="64F360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Merge w:val="continue"/>
            <w:vAlign w:val="center"/>
          </w:tcPr>
          <w:p w14:paraId="41C50164">
            <w:pPr>
              <w:spacing w:line="260" w:lineRule="exact"/>
              <w:jc w:val="center"/>
              <w:rPr>
                <w:rFonts w:ascii="宋体" w:cs="宋体"/>
                <w:sz w:val="18"/>
                <w:szCs w:val="18"/>
              </w:rPr>
            </w:pPr>
          </w:p>
        </w:tc>
        <w:tc>
          <w:tcPr>
            <w:tcW w:w="3349" w:type="dxa"/>
            <w:gridSpan w:val="2"/>
            <w:vAlign w:val="center"/>
          </w:tcPr>
          <w:p w14:paraId="26A3888E">
            <w:pPr>
              <w:spacing w:line="260" w:lineRule="exact"/>
              <w:jc w:val="left"/>
              <w:rPr>
                <w:rFonts w:ascii="宋体" w:cs="宋体"/>
                <w:sz w:val="18"/>
                <w:szCs w:val="18"/>
              </w:rPr>
            </w:pPr>
            <w:r>
              <w:rPr>
                <w:rFonts w:hint="eastAsia" w:ascii="宋体" w:hAnsi="宋体" w:cs="宋体"/>
                <w:color w:val="000000"/>
                <w:kern w:val="0"/>
                <w:sz w:val="18"/>
                <w:szCs w:val="18"/>
                <w:lang w:bidi="ar"/>
              </w:rPr>
              <w:t xml:space="preserve">   其中：财政拨款</w:t>
            </w:r>
          </w:p>
        </w:tc>
        <w:tc>
          <w:tcPr>
            <w:tcW w:w="4228" w:type="dxa"/>
            <w:gridSpan w:val="2"/>
            <w:vAlign w:val="center"/>
          </w:tcPr>
          <w:p w14:paraId="468E3FB7">
            <w:pPr>
              <w:spacing w:line="260" w:lineRule="exact"/>
              <w:jc w:val="center"/>
              <w:rPr>
                <w:rFonts w:ascii="宋体" w:cs="宋体"/>
                <w:sz w:val="18"/>
                <w:szCs w:val="18"/>
              </w:rPr>
            </w:pPr>
            <w:r>
              <w:rPr>
                <w:rFonts w:hint="eastAsia" w:ascii="宋体" w:cs="宋体"/>
                <w:sz w:val="18"/>
                <w:szCs w:val="18"/>
              </w:rPr>
              <w:t>5.44</w:t>
            </w:r>
          </w:p>
        </w:tc>
      </w:tr>
      <w:tr w14:paraId="746E2C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Merge w:val="continue"/>
            <w:vAlign w:val="center"/>
          </w:tcPr>
          <w:p w14:paraId="44945B17">
            <w:pPr>
              <w:spacing w:line="260" w:lineRule="exact"/>
              <w:jc w:val="center"/>
              <w:rPr>
                <w:rFonts w:ascii="宋体" w:cs="宋体"/>
                <w:sz w:val="18"/>
                <w:szCs w:val="18"/>
              </w:rPr>
            </w:pPr>
          </w:p>
        </w:tc>
        <w:tc>
          <w:tcPr>
            <w:tcW w:w="3349" w:type="dxa"/>
            <w:gridSpan w:val="2"/>
            <w:vAlign w:val="center"/>
          </w:tcPr>
          <w:p w14:paraId="57968A19">
            <w:pPr>
              <w:spacing w:line="260" w:lineRule="exact"/>
              <w:jc w:val="left"/>
              <w:rPr>
                <w:rFonts w:ascii="宋体" w:cs="宋体"/>
                <w:sz w:val="18"/>
                <w:szCs w:val="18"/>
              </w:rPr>
            </w:pPr>
            <w:r>
              <w:rPr>
                <w:rFonts w:hint="eastAsia" w:ascii="宋体" w:hAnsi="宋体" w:cs="宋体"/>
                <w:color w:val="000000"/>
                <w:kern w:val="0"/>
                <w:sz w:val="18"/>
                <w:szCs w:val="18"/>
                <w:lang w:bidi="ar"/>
              </w:rPr>
              <w:t xml:space="preserve">         上年结转</w:t>
            </w:r>
          </w:p>
        </w:tc>
        <w:tc>
          <w:tcPr>
            <w:tcW w:w="4228" w:type="dxa"/>
            <w:gridSpan w:val="2"/>
            <w:vAlign w:val="center"/>
          </w:tcPr>
          <w:p w14:paraId="70CC4A7F">
            <w:pPr>
              <w:spacing w:line="260" w:lineRule="exact"/>
              <w:jc w:val="center"/>
              <w:rPr>
                <w:rFonts w:ascii="宋体" w:cs="宋体"/>
                <w:sz w:val="18"/>
                <w:szCs w:val="18"/>
              </w:rPr>
            </w:pPr>
          </w:p>
        </w:tc>
      </w:tr>
      <w:tr w14:paraId="4CD6D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Merge w:val="continue"/>
            <w:vAlign w:val="center"/>
          </w:tcPr>
          <w:p w14:paraId="5932A478">
            <w:pPr>
              <w:spacing w:line="260" w:lineRule="exact"/>
              <w:jc w:val="center"/>
              <w:rPr>
                <w:rFonts w:ascii="宋体" w:cs="宋体"/>
                <w:sz w:val="18"/>
                <w:szCs w:val="18"/>
              </w:rPr>
            </w:pPr>
          </w:p>
        </w:tc>
        <w:tc>
          <w:tcPr>
            <w:tcW w:w="3349" w:type="dxa"/>
            <w:gridSpan w:val="2"/>
            <w:vAlign w:val="center"/>
          </w:tcPr>
          <w:p w14:paraId="1F2F26C0">
            <w:pPr>
              <w:spacing w:line="260" w:lineRule="exact"/>
              <w:jc w:val="left"/>
              <w:rPr>
                <w:rFonts w:ascii="宋体" w:cs="宋体"/>
                <w:sz w:val="18"/>
                <w:szCs w:val="18"/>
              </w:rPr>
            </w:pPr>
            <w:r>
              <w:rPr>
                <w:rFonts w:hint="eastAsia" w:ascii="宋体" w:hAnsi="宋体" w:cs="宋体"/>
                <w:color w:val="000000"/>
                <w:kern w:val="0"/>
                <w:sz w:val="18"/>
                <w:szCs w:val="18"/>
                <w:lang w:bidi="ar"/>
              </w:rPr>
              <w:t xml:space="preserve">         其他资金</w:t>
            </w:r>
          </w:p>
        </w:tc>
        <w:tc>
          <w:tcPr>
            <w:tcW w:w="4228" w:type="dxa"/>
            <w:gridSpan w:val="2"/>
            <w:vAlign w:val="center"/>
          </w:tcPr>
          <w:p w14:paraId="26F6386A">
            <w:pPr>
              <w:spacing w:line="260" w:lineRule="exact"/>
              <w:jc w:val="right"/>
              <w:rPr>
                <w:rFonts w:ascii="宋体" w:cs="宋体"/>
                <w:sz w:val="18"/>
                <w:szCs w:val="18"/>
              </w:rPr>
            </w:pPr>
          </w:p>
        </w:tc>
      </w:tr>
      <w:tr w14:paraId="139CE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atLeast"/>
        </w:trPr>
        <w:tc>
          <w:tcPr>
            <w:tcW w:w="438" w:type="dxa"/>
            <w:vAlign w:val="center"/>
          </w:tcPr>
          <w:p w14:paraId="77BC602F">
            <w:pPr>
              <w:spacing w:line="260" w:lineRule="exact"/>
              <w:jc w:val="center"/>
              <w:rPr>
                <w:rFonts w:ascii="宋体" w:cs="宋体"/>
                <w:sz w:val="18"/>
                <w:szCs w:val="18"/>
              </w:rPr>
            </w:pPr>
            <w:r>
              <w:rPr>
                <w:rFonts w:hint="eastAsia" w:ascii="宋体" w:hAnsi="宋体" w:cs="宋体"/>
                <w:color w:val="000000"/>
                <w:kern w:val="0"/>
                <w:sz w:val="18"/>
                <w:szCs w:val="18"/>
                <w:lang w:bidi="ar"/>
              </w:rPr>
              <w:t>年度</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目标</w:t>
            </w:r>
          </w:p>
        </w:tc>
        <w:tc>
          <w:tcPr>
            <w:tcW w:w="8582" w:type="dxa"/>
            <w:gridSpan w:val="6"/>
            <w:vAlign w:val="center"/>
          </w:tcPr>
          <w:p w14:paraId="58257EE5">
            <w:pPr>
              <w:spacing w:line="260" w:lineRule="exact"/>
              <w:jc w:val="left"/>
              <w:rPr>
                <w:rFonts w:ascii="宋体" w:cs="宋体"/>
                <w:sz w:val="18"/>
                <w:szCs w:val="18"/>
              </w:rPr>
            </w:pPr>
            <w:r>
              <w:rPr>
                <w:rFonts w:ascii="宋体" w:hAnsi="宋体" w:eastAsia="宋体" w:cs="宋体"/>
                <w:i w:val="0"/>
                <w:strike w:val="0"/>
                <w:color w:val="000000"/>
                <w:sz w:val="18"/>
                <w:u w:val="none"/>
              </w:rPr>
              <w:t>按照“保基本、强基层、建机制”的要求。继续深化医药卫生体制改革，进一步完善医疗卫生核心制度，持续加强医疗服务体系、公共卫生服务体系、医疗卫生应急体系建设，完善和深化国家基本药物制度，继续做好中医药民族医药工作，切实规范医疗服务行为，统筹医疗卫生事业全面发展，完成年度三年过渡安置人员工资发放。</w:t>
            </w:r>
          </w:p>
        </w:tc>
      </w:tr>
      <w:tr w14:paraId="257479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atLeast"/>
        </w:trPr>
        <w:tc>
          <w:tcPr>
            <w:tcW w:w="438" w:type="dxa"/>
            <w:vMerge w:val="restart"/>
            <w:vAlign w:val="center"/>
          </w:tcPr>
          <w:p w14:paraId="336657B0">
            <w:pPr>
              <w:spacing w:line="260" w:lineRule="exact"/>
              <w:jc w:val="center"/>
              <w:rPr>
                <w:rFonts w:ascii="宋体" w:cs="宋体"/>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标</w:t>
            </w:r>
          </w:p>
        </w:tc>
        <w:tc>
          <w:tcPr>
            <w:tcW w:w="723" w:type="dxa"/>
            <w:vAlign w:val="center"/>
          </w:tcPr>
          <w:p w14:paraId="71B05A0B">
            <w:pPr>
              <w:spacing w:line="260" w:lineRule="exact"/>
              <w:jc w:val="center"/>
              <w:rPr>
                <w:rFonts w:ascii="宋体" w:cs="宋体"/>
                <w:sz w:val="18"/>
                <w:szCs w:val="18"/>
              </w:rPr>
            </w:pPr>
            <w:r>
              <w:rPr>
                <w:rFonts w:hint="eastAsia" w:ascii="宋体" w:hAnsi="宋体" w:cs="宋体"/>
                <w:color w:val="000000"/>
                <w:kern w:val="0"/>
                <w:sz w:val="18"/>
                <w:szCs w:val="18"/>
                <w:lang w:bidi="ar"/>
              </w:rPr>
              <w:t>一级</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指标</w:t>
            </w:r>
          </w:p>
        </w:tc>
        <w:tc>
          <w:tcPr>
            <w:tcW w:w="759" w:type="dxa"/>
            <w:gridSpan w:val="2"/>
            <w:vAlign w:val="center"/>
          </w:tcPr>
          <w:p w14:paraId="7130C50C">
            <w:pPr>
              <w:spacing w:line="260" w:lineRule="exact"/>
              <w:jc w:val="center"/>
              <w:rPr>
                <w:rFonts w:ascii="宋体" w:cs="宋体"/>
                <w:sz w:val="18"/>
                <w:szCs w:val="18"/>
              </w:rPr>
            </w:pPr>
            <w:r>
              <w:rPr>
                <w:rFonts w:hint="eastAsia" w:ascii="宋体" w:hAnsi="宋体" w:cs="宋体"/>
                <w:color w:val="000000"/>
                <w:kern w:val="0"/>
                <w:sz w:val="18"/>
                <w:szCs w:val="18"/>
                <w:lang w:bidi="ar"/>
              </w:rPr>
              <w:t>二级指标</w:t>
            </w:r>
          </w:p>
        </w:tc>
        <w:tc>
          <w:tcPr>
            <w:tcW w:w="2872" w:type="dxa"/>
            <w:vAlign w:val="center"/>
          </w:tcPr>
          <w:p w14:paraId="7568E70B">
            <w:pPr>
              <w:spacing w:line="260" w:lineRule="exact"/>
              <w:jc w:val="center"/>
              <w:rPr>
                <w:rFonts w:ascii="宋体" w:cs="宋体"/>
                <w:sz w:val="18"/>
                <w:szCs w:val="18"/>
              </w:rPr>
            </w:pPr>
            <w:r>
              <w:rPr>
                <w:rFonts w:hint="eastAsia" w:ascii="宋体" w:hAnsi="宋体" w:cs="宋体"/>
                <w:color w:val="000000"/>
                <w:kern w:val="0"/>
                <w:sz w:val="18"/>
                <w:szCs w:val="18"/>
                <w:lang w:bidi="ar"/>
              </w:rPr>
              <w:t>三级指标</w:t>
            </w:r>
          </w:p>
        </w:tc>
        <w:tc>
          <w:tcPr>
            <w:tcW w:w="4228" w:type="dxa"/>
            <w:gridSpan w:val="2"/>
            <w:vAlign w:val="center"/>
          </w:tcPr>
          <w:p w14:paraId="1B18BB1E">
            <w:pPr>
              <w:spacing w:line="260" w:lineRule="exact"/>
              <w:jc w:val="center"/>
              <w:rPr>
                <w:rFonts w:ascii="宋体" w:cs="宋体"/>
                <w:sz w:val="18"/>
                <w:szCs w:val="18"/>
              </w:rPr>
            </w:pPr>
            <w:r>
              <w:rPr>
                <w:rFonts w:hint="eastAsia" w:ascii="宋体" w:hAnsi="宋体" w:cs="宋体"/>
                <w:color w:val="000000"/>
                <w:kern w:val="0"/>
                <w:sz w:val="18"/>
                <w:szCs w:val="18"/>
                <w:lang w:bidi="ar"/>
              </w:rPr>
              <w:t>指标值</w:t>
            </w:r>
          </w:p>
        </w:tc>
      </w:tr>
      <w:tr w14:paraId="45E8D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2" w:hRule="atLeast"/>
        </w:trPr>
        <w:tc>
          <w:tcPr>
            <w:tcW w:w="438" w:type="dxa"/>
            <w:vMerge w:val="continue"/>
            <w:vAlign w:val="center"/>
          </w:tcPr>
          <w:p w14:paraId="341E76C0">
            <w:pPr>
              <w:spacing w:line="260" w:lineRule="exact"/>
              <w:jc w:val="center"/>
              <w:rPr>
                <w:rFonts w:ascii="宋体" w:cs="宋体"/>
                <w:sz w:val="18"/>
                <w:szCs w:val="18"/>
              </w:rPr>
            </w:pPr>
          </w:p>
        </w:tc>
        <w:tc>
          <w:tcPr>
            <w:tcW w:w="723" w:type="dxa"/>
            <w:vMerge w:val="restart"/>
            <w:vAlign w:val="center"/>
          </w:tcPr>
          <w:p w14:paraId="3FEAB4BB">
            <w:pPr>
              <w:spacing w:line="260" w:lineRule="exact"/>
              <w:jc w:val="center"/>
              <w:rPr>
                <w:rFonts w:ascii="宋体" w:cs="宋体"/>
                <w:sz w:val="18"/>
                <w:szCs w:val="18"/>
              </w:rPr>
            </w:pPr>
            <w:r>
              <w:rPr>
                <w:rFonts w:hint="eastAsia" w:ascii="宋体" w:hAnsi="宋体" w:cs="宋体"/>
                <w:color w:val="000000"/>
                <w:kern w:val="0"/>
                <w:sz w:val="18"/>
                <w:szCs w:val="18"/>
                <w:lang w:bidi="ar"/>
              </w:rPr>
              <w:t>产出指标</w:t>
            </w:r>
          </w:p>
        </w:tc>
        <w:tc>
          <w:tcPr>
            <w:tcW w:w="759" w:type="dxa"/>
            <w:gridSpan w:val="2"/>
            <w:vAlign w:val="center"/>
          </w:tcPr>
          <w:p w14:paraId="5D064527">
            <w:pPr>
              <w:spacing w:line="260" w:lineRule="exact"/>
              <w:jc w:val="center"/>
              <w:rPr>
                <w:rFonts w:ascii="宋体" w:cs="宋体"/>
                <w:sz w:val="18"/>
                <w:szCs w:val="18"/>
              </w:rPr>
            </w:pPr>
            <w:r>
              <w:rPr>
                <w:rFonts w:hint="eastAsia" w:ascii="宋体" w:hAnsi="宋体" w:cs="宋体"/>
                <w:color w:val="000000"/>
                <w:kern w:val="0"/>
                <w:sz w:val="18"/>
                <w:szCs w:val="18"/>
                <w:lang w:bidi="ar"/>
              </w:rPr>
              <w:t>数量指标</w:t>
            </w:r>
          </w:p>
        </w:tc>
        <w:tc>
          <w:tcPr>
            <w:tcW w:w="2872" w:type="dxa"/>
            <w:vAlign w:val="center"/>
          </w:tcPr>
          <w:p w14:paraId="0EB692B0">
            <w:pPr>
              <w:spacing w:line="260" w:lineRule="exact"/>
              <w:jc w:val="left"/>
              <w:rPr>
                <w:rFonts w:ascii="宋体" w:cs="宋体"/>
                <w:sz w:val="18"/>
                <w:szCs w:val="18"/>
              </w:rPr>
            </w:pPr>
            <w:r>
              <w:rPr>
                <w:rFonts w:ascii="宋体" w:hAnsi="宋体" w:eastAsia="宋体" w:cs="宋体"/>
                <w:i w:val="0"/>
                <w:strike w:val="0"/>
                <w:color w:val="000000"/>
                <w:spacing w:val="0"/>
                <w:sz w:val="18"/>
                <w:u w:val="none"/>
                <w:vertAlign w:val="baseline"/>
              </w:rPr>
              <w:t>保障人员数量</w:t>
            </w:r>
          </w:p>
        </w:tc>
        <w:tc>
          <w:tcPr>
            <w:tcW w:w="4228" w:type="dxa"/>
            <w:gridSpan w:val="2"/>
            <w:vAlign w:val="center"/>
          </w:tcPr>
          <w:p w14:paraId="500FFAB5">
            <w:pPr>
              <w:spacing w:line="260" w:lineRule="exact"/>
              <w:jc w:val="center"/>
              <w:rPr>
                <w:rFonts w:ascii="宋体" w:cs="宋体"/>
                <w:sz w:val="18"/>
                <w:szCs w:val="18"/>
              </w:rPr>
            </w:pPr>
            <w:r>
              <w:rPr>
                <w:rFonts w:ascii="宋体" w:hAnsi="宋体" w:eastAsia="宋体" w:cs="宋体"/>
                <w:i w:val="0"/>
                <w:strike w:val="0"/>
                <w:color w:val="000000"/>
                <w:spacing w:val="0"/>
                <w:sz w:val="18"/>
                <w:u w:val="none"/>
              </w:rPr>
              <w:t>3名</w:t>
            </w:r>
          </w:p>
        </w:tc>
      </w:tr>
      <w:tr w14:paraId="10058D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438" w:type="dxa"/>
            <w:vMerge w:val="continue"/>
            <w:vAlign w:val="center"/>
          </w:tcPr>
          <w:p w14:paraId="24646548">
            <w:pPr>
              <w:spacing w:line="260" w:lineRule="exact"/>
              <w:jc w:val="center"/>
              <w:rPr>
                <w:rFonts w:ascii="宋体" w:cs="宋体"/>
                <w:sz w:val="18"/>
                <w:szCs w:val="18"/>
              </w:rPr>
            </w:pPr>
          </w:p>
        </w:tc>
        <w:tc>
          <w:tcPr>
            <w:tcW w:w="723" w:type="dxa"/>
            <w:vMerge w:val="continue"/>
            <w:vAlign w:val="center"/>
          </w:tcPr>
          <w:p w14:paraId="3D1EB6F5">
            <w:pPr>
              <w:spacing w:line="260" w:lineRule="exact"/>
              <w:jc w:val="center"/>
              <w:rPr>
                <w:rFonts w:ascii="宋体" w:cs="宋体"/>
                <w:sz w:val="18"/>
                <w:szCs w:val="18"/>
              </w:rPr>
            </w:pPr>
          </w:p>
        </w:tc>
        <w:tc>
          <w:tcPr>
            <w:tcW w:w="759" w:type="dxa"/>
            <w:gridSpan w:val="2"/>
            <w:vAlign w:val="center"/>
          </w:tcPr>
          <w:p w14:paraId="4A7C1A02">
            <w:pPr>
              <w:spacing w:line="260" w:lineRule="exact"/>
              <w:jc w:val="center"/>
              <w:rPr>
                <w:rFonts w:ascii="宋体" w:cs="宋体"/>
                <w:sz w:val="18"/>
                <w:szCs w:val="18"/>
              </w:rPr>
            </w:pPr>
            <w:r>
              <w:rPr>
                <w:rFonts w:hint="eastAsia" w:ascii="宋体" w:hAnsi="宋体" w:cs="宋体"/>
                <w:color w:val="000000"/>
                <w:kern w:val="0"/>
                <w:sz w:val="18"/>
                <w:szCs w:val="18"/>
                <w:lang w:bidi="ar"/>
              </w:rPr>
              <w:t>质量指标</w:t>
            </w:r>
          </w:p>
        </w:tc>
        <w:tc>
          <w:tcPr>
            <w:tcW w:w="2872" w:type="dxa"/>
            <w:vAlign w:val="center"/>
          </w:tcPr>
          <w:p w14:paraId="6EA345DB">
            <w:pPr>
              <w:spacing w:line="260" w:lineRule="exact"/>
              <w:jc w:val="left"/>
              <w:rPr>
                <w:rFonts w:ascii="宋体" w:cs="宋体"/>
                <w:sz w:val="18"/>
                <w:szCs w:val="18"/>
              </w:rPr>
            </w:pPr>
            <w:r>
              <w:rPr>
                <w:rFonts w:ascii="宋体" w:hAnsi="宋体" w:eastAsia="宋体" w:cs="宋体"/>
                <w:i w:val="0"/>
                <w:strike w:val="0"/>
                <w:color w:val="000000"/>
                <w:spacing w:val="0"/>
                <w:sz w:val="18"/>
                <w:u w:val="none"/>
                <w:vertAlign w:val="baseline"/>
              </w:rPr>
              <w:t>经费支出合规性</w:t>
            </w:r>
          </w:p>
        </w:tc>
        <w:tc>
          <w:tcPr>
            <w:tcW w:w="4228" w:type="dxa"/>
            <w:gridSpan w:val="2"/>
            <w:vAlign w:val="center"/>
          </w:tcPr>
          <w:p w14:paraId="10FE416E">
            <w:pPr>
              <w:spacing w:line="260" w:lineRule="exact"/>
              <w:jc w:val="center"/>
              <w:rPr>
                <w:rFonts w:ascii="宋体" w:cs="宋体"/>
                <w:sz w:val="18"/>
                <w:szCs w:val="18"/>
              </w:rPr>
            </w:pPr>
            <w:r>
              <w:rPr>
                <w:rFonts w:ascii="宋体" w:hAnsi="宋体" w:eastAsia="宋体" w:cs="宋体"/>
                <w:i w:val="0"/>
                <w:strike w:val="0"/>
                <w:color w:val="000000"/>
                <w:spacing w:val="0"/>
                <w:sz w:val="18"/>
                <w:u w:val="none"/>
              </w:rPr>
              <w:t>100%</w:t>
            </w:r>
          </w:p>
        </w:tc>
      </w:tr>
      <w:tr w14:paraId="3329E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438" w:type="dxa"/>
            <w:vMerge w:val="continue"/>
            <w:vAlign w:val="center"/>
          </w:tcPr>
          <w:p w14:paraId="42A95B7D">
            <w:pPr>
              <w:spacing w:line="260" w:lineRule="exact"/>
              <w:jc w:val="center"/>
              <w:rPr>
                <w:rFonts w:ascii="宋体" w:cs="宋体"/>
                <w:sz w:val="18"/>
                <w:szCs w:val="18"/>
              </w:rPr>
            </w:pPr>
          </w:p>
        </w:tc>
        <w:tc>
          <w:tcPr>
            <w:tcW w:w="723" w:type="dxa"/>
            <w:vMerge w:val="continue"/>
            <w:vAlign w:val="center"/>
          </w:tcPr>
          <w:p w14:paraId="34DFBE06">
            <w:pPr>
              <w:spacing w:line="260" w:lineRule="exact"/>
              <w:jc w:val="center"/>
              <w:rPr>
                <w:rFonts w:ascii="宋体" w:cs="宋体"/>
                <w:sz w:val="18"/>
                <w:szCs w:val="18"/>
              </w:rPr>
            </w:pPr>
          </w:p>
        </w:tc>
        <w:tc>
          <w:tcPr>
            <w:tcW w:w="759" w:type="dxa"/>
            <w:gridSpan w:val="2"/>
            <w:vAlign w:val="center"/>
          </w:tcPr>
          <w:p w14:paraId="15AE1684">
            <w:pPr>
              <w:spacing w:line="260" w:lineRule="exact"/>
              <w:jc w:val="center"/>
              <w:rPr>
                <w:rFonts w:ascii="宋体" w:cs="宋体"/>
                <w:sz w:val="18"/>
                <w:szCs w:val="18"/>
              </w:rPr>
            </w:pPr>
            <w:r>
              <w:rPr>
                <w:rFonts w:hint="eastAsia" w:ascii="宋体" w:hAnsi="宋体" w:cs="宋体"/>
                <w:color w:val="000000"/>
                <w:kern w:val="0"/>
                <w:sz w:val="18"/>
                <w:szCs w:val="18"/>
                <w:lang w:bidi="ar"/>
              </w:rPr>
              <w:t>时效指标</w:t>
            </w:r>
          </w:p>
        </w:tc>
        <w:tc>
          <w:tcPr>
            <w:tcW w:w="2872" w:type="dxa"/>
            <w:vAlign w:val="center"/>
          </w:tcPr>
          <w:p w14:paraId="50120A6D">
            <w:pPr>
              <w:spacing w:line="260" w:lineRule="exact"/>
              <w:jc w:val="left"/>
              <w:rPr>
                <w:rFonts w:ascii="宋体" w:cs="宋体"/>
                <w:sz w:val="18"/>
                <w:szCs w:val="18"/>
              </w:rPr>
            </w:pPr>
            <w:r>
              <w:rPr>
                <w:rFonts w:ascii="宋体" w:hAnsi="宋体" w:eastAsia="宋体" w:cs="宋体"/>
                <w:i w:val="0"/>
                <w:strike w:val="0"/>
                <w:color w:val="000000"/>
                <w:spacing w:val="0"/>
                <w:sz w:val="18"/>
                <w:u w:val="none"/>
                <w:vertAlign w:val="baseline"/>
              </w:rPr>
              <w:t>及时发放工资</w:t>
            </w:r>
          </w:p>
        </w:tc>
        <w:tc>
          <w:tcPr>
            <w:tcW w:w="4228" w:type="dxa"/>
            <w:gridSpan w:val="2"/>
            <w:vAlign w:val="center"/>
          </w:tcPr>
          <w:p w14:paraId="7086253F">
            <w:pPr>
              <w:spacing w:line="260" w:lineRule="exact"/>
              <w:jc w:val="center"/>
              <w:rPr>
                <w:rFonts w:ascii="宋体" w:cs="宋体"/>
                <w:sz w:val="18"/>
                <w:szCs w:val="18"/>
              </w:rPr>
            </w:pPr>
            <w:r>
              <w:rPr>
                <w:rFonts w:ascii="宋体" w:hAnsi="宋体" w:eastAsia="宋体" w:cs="宋体"/>
                <w:i w:val="0"/>
                <w:strike w:val="0"/>
                <w:color w:val="000000"/>
                <w:spacing w:val="0"/>
                <w:sz w:val="18"/>
                <w:u w:val="none"/>
              </w:rPr>
              <w:t>按月发放</w:t>
            </w:r>
          </w:p>
        </w:tc>
      </w:tr>
      <w:tr w14:paraId="32782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438" w:type="dxa"/>
            <w:vMerge w:val="continue"/>
            <w:vAlign w:val="center"/>
          </w:tcPr>
          <w:p w14:paraId="42EE6B29">
            <w:pPr>
              <w:spacing w:line="260" w:lineRule="exact"/>
              <w:jc w:val="center"/>
              <w:rPr>
                <w:rFonts w:ascii="宋体" w:cs="宋体"/>
                <w:sz w:val="18"/>
                <w:szCs w:val="18"/>
              </w:rPr>
            </w:pPr>
          </w:p>
        </w:tc>
        <w:tc>
          <w:tcPr>
            <w:tcW w:w="723" w:type="dxa"/>
            <w:vMerge w:val="continue"/>
            <w:vAlign w:val="center"/>
          </w:tcPr>
          <w:p w14:paraId="3B2B6D2B">
            <w:pPr>
              <w:spacing w:line="260" w:lineRule="exact"/>
              <w:jc w:val="center"/>
              <w:rPr>
                <w:rFonts w:ascii="宋体" w:cs="宋体"/>
                <w:sz w:val="18"/>
                <w:szCs w:val="18"/>
              </w:rPr>
            </w:pPr>
          </w:p>
        </w:tc>
        <w:tc>
          <w:tcPr>
            <w:tcW w:w="759" w:type="dxa"/>
            <w:gridSpan w:val="2"/>
            <w:vAlign w:val="center"/>
          </w:tcPr>
          <w:p w14:paraId="561BE694">
            <w:pPr>
              <w:spacing w:line="260" w:lineRule="exact"/>
              <w:jc w:val="center"/>
              <w:rPr>
                <w:rFonts w:ascii="宋体" w:cs="宋体"/>
                <w:sz w:val="18"/>
                <w:szCs w:val="18"/>
              </w:rPr>
            </w:pPr>
            <w:r>
              <w:rPr>
                <w:rFonts w:hint="eastAsia" w:ascii="宋体" w:hAnsi="宋体" w:cs="宋体"/>
                <w:color w:val="000000"/>
                <w:kern w:val="0"/>
                <w:sz w:val="18"/>
                <w:szCs w:val="18"/>
                <w:lang w:bidi="ar"/>
              </w:rPr>
              <w:t>成本指标</w:t>
            </w:r>
          </w:p>
        </w:tc>
        <w:tc>
          <w:tcPr>
            <w:tcW w:w="2872" w:type="dxa"/>
            <w:vAlign w:val="center"/>
          </w:tcPr>
          <w:p w14:paraId="3C9CE052">
            <w:pPr>
              <w:spacing w:line="260" w:lineRule="exact"/>
              <w:jc w:val="left"/>
              <w:rPr>
                <w:rFonts w:ascii="宋体" w:cs="宋体"/>
                <w:sz w:val="18"/>
                <w:szCs w:val="18"/>
              </w:rPr>
            </w:pPr>
            <w:r>
              <w:rPr>
                <w:rFonts w:ascii="宋体" w:hAnsi="宋体" w:eastAsia="宋体" w:cs="宋体"/>
                <w:i w:val="0"/>
                <w:strike w:val="0"/>
                <w:color w:val="000000"/>
                <w:spacing w:val="0"/>
                <w:sz w:val="18"/>
                <w:u w:val="none"/>
                <w:vertAlign w:val="baseline"/>
              </w:rPr>
              <w:t>三年过渡安置人员补助支付标准</w:t>
            </w:r>
          </w:p>
        </w:tc>
        <w:tc>
          <w:tcPr>
            <w:tcW w:w="4228" w:type="dxa"/>
            <w:gridSpan w:val="2"/>
            <w:vAlign w:val="center"/>
          </w:tcPr>
          <w:p w14:paraId="40CDE1C0">
            <w:pPr>
              <w:spacing w:line="260" w:lineRule="exact"/>
              <w:jc w:val="center"/>
              <w:rPr>
                <w:rFonts w:ascii="宋体" w:cs="宋体"/>
                <w:sz w:val="18"/>
                <w:szCs w:val="18"/>
              </w:rPr>
            </w:pPr>
            <w:r>
              <w:rPr>
                <w:rFonts w:ascii="宋体" w:hAnsi="宋体" w:eastAsia="宋体" w:cs="宋体"/>
                <w:i w:val="0"/>
                <w:strike w:val="0"/>
                <w:color w:val="000000"/>
                <w:spacing w:val="0"/>
                <w:sz w:val="18"/>
                <w:u w:val="none"/>
              </w:rPr>
              <w:t>按照审批规定支付</w:t>
            </w:r>
          </w:p>
        </w:tc>
      </w:tr>
      <w:tr w14:paraId="453E0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38" w:type="dxa"/>
            <w:vMerge w:val="continue"/>
            <w:vAlign w:val="center"/>
          </w:tcPr>
          <w:p w14:paraId="4063DC39">
            <w:pPr>
              <w:spacing w:line="260" w:lineRule="exact"/>
              <w:jc w:val="center"/>
              <w:rPr>
                <w:rFonts w:ascii="宋体" w:cs="宋体"/>
                <w:sz w:val="18"/>
                <w:szCs w:val="18"/>
              </w:rPr>
            </w:pPr>
          </w:p>
        </w:tc>
        <w:tc>
          <w:tcPr>
            <w:tcW w:w="723" w:type="dxa"/>
            <w:vAlign w:val="center"/>
          </w:tcPr>
          <w:p w14:paraId="2F971999">
            <w:pPr>
              <w:spacing w:line="260" w:lineRule="exact"/>
              <w:jc w:val="center"/>
              <w:rPr>
                <w:rFonts w:ascii="宋体" w:cs="宋体"/>
                <w:sz w:val="18"/>
                <w:szCs w:val="18"/>
              </w:rPr>
            </w:pPr>
            <w:r>
              <w:rPr>
                <w:rFonts w:hint="eastAsia" w:ascii="宋体" w:hAnsi="宋体" w:cs="宋体"/>
                <w:color w:val="000000"/>
                <w:kern w:val="0"/>
                <w:sz w:val="18"/>
                <w:szCs w:val="18"/>
                <w:lang w:bidi="ar"/>
              </w:rPr>
              <w:t>社会效益指标</w:t>
            </w:r>
          </w:p>
          <w:p w14:paraId="4478EBC2">
            <w:pPr>
              <w:spacing w:line="260" w:lineRule="exact"/>
              <w:jc w:val="center"/>
              <w:rPr>
                <w:rFonts w:ascii="宋体" w:cs="宋体"/>
                <w:sz w:val="18"/>
                <w:szCs w:val="18"/>
              </w:rPr>
            </w:pPr>
          </w:p>
        </w:tc>
        <w:tc>
          <w:tcPr>
            <w:tcW w:w="759" w:type="dxa"/>
            <w:gridSpan w:val="2"/>
            <w:vAlign w:val="center"/>
          </w:tcPr>
          <w:p w14:paraId="198A0341">
            <w:pPr>
              <w:spacing w:line="260" w:lineRule="exact"/>
              <w:jc w:val="center"/>
              <w:rPr>
                <w:rFonts w:ascii="宋体" w:cs="宋体"/>
                <w:sz w:val="18"/>
                <w:szCs w:val="18"/>
              </w:rPr>
            </w:pPr>
            <w:r>
              <w:rPr>
                <w:rFonts w:hint="eastAsia" w:ascii="宋体" w:hAnsi="宋体" w:cs="宋体"/>
                <w:color w:val="000000"/>
                <w:kern w:val="0"/>
                <w:sz w:val="18"/>
                <w:szCs w:val="18"/>
                <w:lang w:bidi="ar"/>
              </w:rPr>
              <w:t>社会效益指标</w:t>
            </w:r>
          </w:p>
        </w:tc>
        <w:tc>
          <w:tcPr>
            <w:tcW w:w="2872" w:type="dxa"/>
            <w:vAlign w:val="center"/>
          </w:tcPr>
          <w:p w14:paraId="4E31A496">
            <w:pPr>
              <w:spacing w:line="260" w:lineRule="exact"/>
              <w:jc w:val="left"/>
              <w:rPr>
                <w:rFonts w:ascii="宋体" w:cs="宋体"/>
                <w:sz w:val="18"/>
                <w:szCs w:val="18"/>
              </w:rPr>
            </w:pPr>
            <w:r>
              <w:rPr>
                <w:rFonts w:ascii="宋体" w:hAnsi="宋体" w:eastAsia="宋体" w:cs="宋体"/>
                <w:i w:val="0"/>
                <w:strike w:val="0"/>
                <w:color w:val="000000"/>
                <w:spacing w:val="0"/>
                <w:sz w:val="18"/>
                <w:u w:val="none"/>
                <w:vertAlign w:val="baseline"/>
              </w:rPr>
              <w:t>受益人覆盖率</w:t>
            </w:r>
          </w:p>
        </w:tc>
        <w:tc>
          <w:tcPr>
            <w:tcW w:w="4228" w:type="dxa"/>
            <w:gridSpan w:val="2"/>
            <w:vAlign w:val="center"/>
          </w:tcPr>
          <w:p w14:paraId="5629DA52">
            <w:pPr>
              <w:spacing w:line="260" w:lineRule="exact"/>
              <w:jc w:val="center"/>
              <w:rPr>
                <w:rFonts w:ascii="宋体" w:cs="宋体"/>
                <w:sz w:val="18"/>
                <w:szCs w:val="18"/>
              </w:rPr>
            </w:pPr>
            <w:r>
              <w:rPr>
                <w:rFonts w:ascii="宋体" w:hAnsi="宋体" w:eastAsia="宋体" w:cs="宋体"/>
                <w:i w:val="0"/>
                <w:strike w:val="0"/>
                <w:color w:val="000000"/>
                <w:spacing w:val="0"/>
                <w:sz w:val="18"/>
                <w:u w:val="none"/>
              </w:rPr>
              <w:t>100%</w:t>
            </w:r>
          </w:p>
        </w:tc>
      </w:tr>
      <w:tr w14:paraId="697A3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438" w:type="dxa"/>
            <w:vMerge w:val="continue"/>
            <w:vAlign w:val="center"/>
          </w:tcPr>
          <w:p w14:paraId="56A4B0F1">
            <w:pPr>
              <w:spacing w:line="260" w:lineRule="exact"/>
              <w:jc w:val="center"/>
              <w:rPr>
                <w:rFonts w:ascii="宋体" w:cs="宋体"/>
                <w:sz w:val="18"/>
                <w:szCs w:val="18"/>
              </w:rPr>
            </w:pPr>
          </w:p>
        </w:tc>
        <w:tc>
          <w:tcPr>
            <w:tcW w:w="723" w:type="dxa"/>
            <w:vAlign w:val="center"/>
          </w:tcPr>
          <w:p w14:paraId="3C96BA5D">
            <w:pPr>
              <w:spacing w:line="260" w:lineRule="exact"/>
              <w:jc w:val="center"/>
              <w:rPr>
                <w:rFonts w:hint="eastAsia" w:ascii="宋体" w:hAnsi="宋体" w:cs="宋体"/>
                <w:sz w:val="18"/>
                <w:szCs w:val="18"/>
              </w:rPr>
            </w:pPr>
            <w:r>
              <w:rPr>
                <w:rFonts w:hint="eastAsia" w:ascii="宋体" w:hAnsi="宋体" w:cs="宋体"/>
                <w:sz w:val="18"/>
                <w:szCs w:val="18"/>
              </w:rPr>
              <w:t>可持续影响指标</w:t>
            </w:r>
          </w:p>
          <w:p w14:paraId="4263757E">
            <w:pPr>
              <w:spacing w:line="260" w:lineRule="exact"/>
              <w:jc w:val="center"/>
              <w:rPr>
                <w:rFonts w:ascii="宋体" w:cs="宋体"/>
                <w:sz w:val="18"/>
                <w:szCs w:val="18"/>
              </w:rPr>
            </w:pPr>
          </w:p>
        </w:tc>
        <w:tc>
          <w:tcPr>
            <w:tcW w:w="759" w:type="dxa"/>
            <w:gridSpan w:val="2"/>
            <w:vAlign w:val="center"/>
          </w:tcPr>
          <w:p w14:paraId="6751E184">
            <w:pPr>
              <w:spacing w:line="260" w:lineRule="exact"/>
              <w:jc w:val="center"/>
              <w:rPr>
                <w:rFonts w:hint="eastAsia" w:ascii="宋体" w:hAnsi="宋体" w:cs="宋体"/>
                <w:sz w:val="18"/>
                <w:szCs w:val="18"/>
              </w:rPr>
            </w:pPr>
            <w:r>
              <w:rPr>
                <w:rFonts w:hint="eastAsia" w:ascii="宋体" w:hAnsi="宋体" w:cs="宋体"/>
                <w:sz w:val="18"/>
                <w:szCs w:val="18"/>
              </w:rPr>
              <w:t>可持续影响指标</w:t>
            </w:r>
          </w:p>
        </w:tc>
        <w:tc>
          <w:tcPr>
            <w:tcW w:w="2872" w:type="dxa"/>
            <w:vAlign w:val="center"/>
          </w:tcPr>
          <w:p w14:paraId="17ED9C78">
            <w:pPr>
              <w:spacing w:line="260" w:lineRule="exact"/>
              <w:jc w:val="left"/>
              <w:rPr>
                <w:rFonts w:hint="eastAsia" w:ascii="宋体" w:hAnsi="宋体" w:cs="宋体"/>
                <w:sz w:val="18"/>
                <w:szCs w:val="18"/>
              </w:rPr>
            </w:pPr>
            <w:r>
              <w:rPr>
                <w:rFonts w:ascii="宋体" w:hAnsi="宋体" w:eastAsia="宋体" w:cs="宋体"/>
                <w:i w:val="0"/>
                <w:strike w:val="0"/>
                <w:color w:val="000000"/>
                <w:spacing w:val="0"/>
                <w:sz w:val="18"/>
                <w:u w:val="none"/>
                <w:vertAlign w:val="baseline"/>
              </w:rPr>
              <w:t>三年过渡安置经费</w:t>
            </w:r>
          </w:p>
        </w:tc>
        <w:tc>
          <w:tcPr>
            <w:tcW w:w="4228" w:type="dxa"/>
            <w:gridSpan w:val="2"/>
            <w:vAlign w:val="center"/>
          </w:tcPr>
          <w:p w14:paraId="7FE03CA3">
            <w:pPr>
              <w:spacing w:line="260" w:lineRule="exact"/>
              <w:jc w:val="center"/>
              <w:rPr>
                <w:rFonts w:ascii="宋体" w:cs="宋体"/>
                <w:sz w:val="18"/>
                <w:szCs w:val="18"/>
              </w:rPr>
            </w:pPr>
            <w:r>
              <w:rPr>
                <w:rFonts w:ascii="宋体" w:hAnsi="宋体" w:eastAsia="宋体" w:cs="宋体"/>
                <w:i w:val="0"/>
                <w:strike w:val="0"/>
                <w:color w:val="000000"/>
                <w:spacing w:val="0"/>
                <w:sz w:val="18"/>
                <w:u w:val="none"/>
              </w:rPr>
              <w:t>逐年提高</w:t>
            </w:r>
          </w:p>
        </w:tc>
      </w:tr>
      <w:tr w14:paraId="2766C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7" w:hRule="atLeast"/>
        </w:trPr>
        <w:tc>
          <w:tcPr>
            <w:tcW w:w="438" w:type="dxa"/>
            <w:vMerge w:val="continue"/>
            <w:vAlign w:val="center"/>
          </w:tcPr>
          <w:p w14:paraId="7E29F3D5">
            <w:pPr>
              <w:spacing w:line="260" w:lineRule="exact"/>
              <w:jc w:val="center"/>
              <w:rPr>
                <w:rFonts w:ascii="宋体" w:cs="宋体"/>
                <w:sz w:val="18"/>
                <w:szCs w:val="18"/>
              </w:rPr>
            </w:pPr>
          </w:p>
        </w:tc>
        <w:tc>
          <w:tcPr>
            <w:tcW w:w="723" w:type="dxa"/>
            <w:vAlign w:val="center"/>
          </w:tcPr>
          <w:p w14:paraId="2C25E0C5">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759" w:type="dxa"/>
            <w:gridSpan w:val="2"/>
            <w:vAlign w:val="center"/>
          </w:tcPr>
          <w:p w14:paraId="00EB1282">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2872" w:type="dxa"/>
            <w:vAlign w:val="center"/>
          </w:tcPr>
          <w:p w14:paraId="569471D2">
            <w:pPr>
              <w:spacing w:line="260" w:lineRule="exact"/>
              <w:jc w:val="left"/>
              <w:rPr>
                <w:rFonts w:hint="eastAsia" w:ascii="宋体" w:hAnsi="宋体" w:cs="宋体"/>
                <w:sz w:val="18"/>
                <w:szCs w:val="18"/>
              </w:rPr>
            </w:pPr>
            <w:r>
              <w:rPr>
                <w:rFonts w:ascii="宋体" w:hAnsi="宋体" w:eastAsia="宋体" w:cs="宋体"/>
                <w:i w:val="0"/>
                <w:strike w:val="0"/>
                <w:color w:val="000000"/>
                <w:spacing w:val="0"/>
                <w:sz w:val="18"/>
                <w:u w:val="none"/>
                <w:vertAlign w:val="baseline"/>
              </w:rPr>
              <w:t>三年过渡安置人员</w:t>
            </w:r>
            <w:r>
              <w:rPr>
                <w:rFonts w:hint="eastAsia" w:ascii="宋体" w:hAnsi="宋体" w:eastAsia="宋体" w:cs="宋体"/>
                <w:i w:val="0"/>
                <w:strike w:val="0"/>
                <w:color w:val="000000"/>
                <w:spacing w:val="0"/>
                <w:sz w:val="18"/>
                <w:u w:val="none"/>
                <w:vertAlign w:val="baseline"/>
              </w:rPr>
              <w:t>满意度</w:t>
            </w:r>
          </w:p>
        </w:tc>
        <w:tc>
          <w:tcPr>
            <w:tcW w:w="4228" w:type="dxa"/>
            <w:gridSpan w:val="2"/>
            <w:vAlign w:val="center"/>
          </w:tcPr>
          <w:p w14:paraId="6054B9E2">
            <w:pPr>
              <w:spacing w:line="260" w:lineRule="exact"/>
              <w:jc w:val="center"/>
              <w:rPr>
                <w:rFonts w:ascii="宋体" w:cs="宋体"/>
                <w:sz w:val="18"/>
                <w:szCs w:val="18"/>
              </w:rPr>
            </w:pPr>
            <w:r>
              <w:rPr>
                <w:rFonts w:ascii="Times New Roman" w:hAnsi="Times New Roman" w:cs="Times New Roman"/>
                <w:i w:val="0"/>
                <w:strike w:val="0"/>
                <w:color w:val="000000"/>
                <w:spacing w:val="0"/>
                <w:sz w:val="18"/>
                <w:u w:val="none"/>
              </w:rPr>
              <w:t>≥</w:t>
            </w:r>
            <w:r>
              <w:rPr>
                <w:rFonts w:ascii="宋体" w:hAnsi="宋体" w:eastAsia="宋体" w:cs="宋体"/>
                <w:i w:val="0"/>
                <w:strike w:val="0"/>
                <w:color w:val="000000"/>
                <w:spacing w:val="0"/>
                <w:sz w:val="18"/>
                <w:u w:val="none"/>
              </w:rPr>
              <w:t>9</w:t>
            </w:r>
            <w:r>
              <w:rPr>
                <w:rFonts w:hint="eastAsia" w:ascii="宋体" w:hAnsi="宋体" w:eastAsia="宋体" w:cs="宋体"/>
                <w:i w:val="0"/>
                <w:strike w:val="0"/>
                <w:color w:val="000000"/>
                <w:spacing w:val="0"/>
                <w:sz w:val="18"/>
                <w:u w:val="none"/>
              </w:rPr>
              <w:t>5</w:t>
            </w:r>
            <w:r>
              <w:rPr>
                <w:rFonts w:ascii="宋体" w:hAnsi="宋体" w:eastAsia="宋体" w:cs="宋体"/>
                <w:i w:val="0"/>
                <w:strike w:val="0"/>
                <w:color w:val="000000"/>
                <w:spacing w:val="0"/>
                <w:sz w:val="18"/>
                <w:u w:val="none"/>
              </w:rPr>
              <w:t>%</w:t>
            </w:r>
          </w:p>
        </w:tc>
      </w:tr>
    </w:tbl>
    <w:p w14:paraId="4210F197">
      <w:pPr>
        <w:topLinePunct/>
        <w:spacing w:line="560" w:lineRule="exact"/>
        <w:ind w:firstLine="640"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2.“乡镇卫生院医疗卫生支出”项目。</w:t>
      </w:r>
    </w:p>
    <w:p w14:paraId="22FA8B71">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（1）项目概述。</w:t>
      </w:r>
      <w:r>
        <w:rPr>
          <w:rFonts w:ascii="仿宋_GB2312" w:hAnsi="仿宋_GB2312" w:eastAsia="仿宋_GB2312" w:cs="仿宋_GB2312"/>
          <w:i w:val="0"/>
          <w:strike w:val="0"/>
          <w:color w:val="000000"/>
          <w:sz w:val="32"/>
          <w:u w:val="none"/>
        </w:rPr>
        <w:t>履行医疗卫生服务职能，发挥基层医疗卫生枢纽作用，做好医疗卫生服务，推动基层医疗卫生事业发展。</w:t>
      </w:r>
    </w:p>
    <w:p w14:paraId="79C4D046">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（2）立项依据。单位基本支出资金。</w:t>
      </w:r>
    </w:p>
    <w:p w14:paraId="14878895">
      <w:pPr>
        <w:topLinePunct/>
        <w:spacing w:line="560" w:lineRule="exact"/>
        <w:ind w:firstLine="640" w:firstLineChars="200"/>
        <w:rPr>
          <w:rFonts w:hint="eastAsia" w:ascii="仿宋_GB2312" w:hAnsi="TimesNewRoman" w:eastAsia="仿宋_GB2312" w:cs="TimesNewRoman"/>
          <w:sz w:val="32"/>
          <w:szCs w:val="32"/>
          <w:u w:val="single"/>
        </w:rPr>
      </w:pPr>
      <w:r>
        <w:rPr>
          <w:rFonts w:hint="eastAsia" w:ascii="仿宋_GB2312" w:hAnsi="TimesNewRoman" w:eastAsia="仿宋_GB2312" w:cs="TimesNewRoman"/>
          <w:sz w:val="32"/>
          <w:szCs w:val="32"/>
        </w:rPr>
        <w:t>（3）实施主体。</w:t>
      </w:r>
      <w:r>
        <w:rPr>
          <w:rFonts w:ascii="仿宋_GB2312" w:hAnsi="仿宋_GB2312" w:eastAsia="仿宋_GB2312" w:cs="仿宋_GB2312"/>
          <w:i w:val="0"/>
          <w:strike w:val="0"/>
          <w:color w:val="000000"/>
          <w:sz w:val="32"/>
          <w:u w:val="none"/>
        </w:rPr>
        <w:t>寿县众兴镇卫生院</w:t>
      </w:r>
    </w:p>
    <w:p w14:paraId="6FE2F228">
      <w:pPr>
        <w:pBdr>
          <w:bottom w:val="none" w:color="auto" w:sz="0" w:space="0"/>
        </w:pBdr>
        <w:snapToGrid/>
        <w:spacing w:before="0" w:after="0" w:line="600" w:lineRule="exact"/>
        <w:ind w:left="0" w:right="0" w:firstLine="585" w:firstLineChars="183"/>
        <w:jc w:val="both"/>
      </w:pPr>
      <w:r>
        <w:rPr>
          <w:rFonts w:hint="eastAsia" w:ascii="仿宋_GB2312" w:hAnsi="TimesNewRoman" w:eastAsia="仿宋_GB2312" w:cs="TimesNewRoman"/>
          <w:sz w:val="32"/>
          <w:szCs w:val="32"/>
        </w:rPr>
        <w:t>（4）起止时间。</w:t>
      </w:r>
      <w:r>
        <w:rPr>
          <w:rFonts w:ascii="仿宋_GB2312" w:hAnsi="仿宋_GB2312" w:eastAsia="仿宋_GB2312" w:cs="仿宋_GB2312"/>
          <w:i w:val="0"/>
          <w:strike w:val="0"/>
          <w:color w:val="000000"/>
          <w:sz w:val="32"/>
          <w:u w:val="none"/>
        </w:rPr>
        <w:t>202</w:t>
      </w:r>
      <w:r>
        <w:rPr>
          <w:rFonts w:hint="eastAsia" w:ascii="仿宋_GB2312" w:hAnsi="仿宋_GB2312" w:eastAsia="仿宋_GB2312" w:cs="仿宋_GB2312"/>
          <w:i w:val="0"/>
          <w:strike w:val="0"/>
          <w:color w:val="000000"/>
          <w:sz w:val="32"/>
          <w:u w:val="none"/>
        </w:rPr>
        <w:t>6</w:t>
      </w:r>
      <w:r>
        <w:rPr>
          <w:rFonts w:ascii="仿宋_GB2312" w:hAnsi="仿宋_GB2312" w:eastAsia="仿宋_GB2312" w:cs="仿宋_GB2312"/>
          <w:i w:val="0"/>
          <w:strike w:val="0"/>
          <w:color w:val="000000"/>
          <w:sz w:val="32"/>
          <w:u w:val="none"/>
        </w:rPr>
        <w:t>年1月1日至202</w:t>
      </w:r>
      <w:r>
        <w:rPr>
          <w:rFonts w:hint="eastAsia" w:ascii="仿宋_GB2312" w:hAnsi="仿宋_GB2312" w:eastAsia="仿宋_GB2312" w:cs="仿宋_GB2312"/>
          <w:i w:val="0"/>
          <w:strike w:val="0"/>
          <w:color w:val="000000"/>
          <w:sz w:val="32"/>
          <w:u w:val="none"/>
        </w:rPr>
        <w:t>6</w:t>
      </w:r>
      <w:r>
        <w:rPr>
          <w:rFonts w:ascii="仿宋_GB2312" w:hAnsi="仿宋_GB2312" w:eastAsia="仿宋_GB2312" w:cs="仿宋_GB2312"/>
          <w:i w:val="0"/>
          <w:strike w:val="0"/>
          <w:color w:val="000000"/>
          <w:sz w:val="32"/>
          <w:u w:val="none"/>
        </w:rPr>
        <w:t>年12月31日。</w:t>
      </w:r>
    </w:p>
    <w:p w14:paraId="2996E65B">
      <w:pPr>
        <w:topLinePunct/>
        <w:spacing w:line="560" w:lineRule="exact"/>
        <w:ind w:firstLine="640" w:firstLineChars="200"/>
        <w:rPr>
          <w:rFonts w:hint="eastAsia" w:ascii="仿宋_GB2312" w:hAnsi="TimesNewRoman" w:eastAsia="仿宋_GB2312" w:cs="TimesNewRoman"/>
          <w:bCs/>
          <w:sz w:val="32"/>
          <w:szCs w:val="32"/>
        </w:rPr>
      </w:pPr>
      <w:r>
        <w:rPr>
          <w:rFonts w:hint="eastAsia" w:ascii="仿宋_GB2312" w:hAnsi="TimesNewRoman" w:eastAsia="仿宋_GB2312" w:cs="TimesNewRoman"/>
          <w:sz w:val="32"/>
          <w:szCs w:val="32"/>
        </w:rPr>
        <w:t>（5）项目内容。</w:t>
      </w:r>
      <w:r>
        <w:rPr>
          <w:rFonts w:ascii="仿宋_GB2312" w:hAnsi="仿宋_GB2312" w:eastAsia="仿宋_GB2312" w:cs="仿宋_GB2312"/>
          <w:i w:val="0"/>
          <w:strike w:val="0"/>
          <w:color w:val="333333"/>
          <w:sz w:val="32"/>
          <w:u w:val="none"/>
        </w:rPr>
        <w:t>按照“保基本、强基层、建机制”的要求。继续深化医药卫生体制改革，进一步完善医疗卫生核心制度，持续加强医疗服务体系、公共卫生服务体系、医疗卫生应急体系建设，完善和深化国家基本药物制度，继续做好中医药民族医药工作，切实规范医疗服务行为，统筹医疗卫生事业全面发展</w:t>
      </w:r>
      <w:r>
        <w:rPr>
          <w:rFonts w:hint="eastAsia" w:ascii="仿宋_GB2312" w:hAnsi="仿宋_GB2312" w:eastAsia="仿宋_GB2312" w:cs="仿宋_GB2312"/>
          <w:i w:val="0"/>
          <w:strike w:val="0"/>
          <w:color w:val="333333"/>
          <w:sz w:val="32"/>
          <w:u w:val="none"/>
        </w:rPr>
        <w:t>。</w:t>
      </w:r>
    </w:p>
    <w:p w14:paraId="621FF846">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（6）年度预算安排。500万元。</w:t>
      </w:r>
    </w:p>
    <w:p w14:paraId="766ED759">
      <w:pPr>
        <w:pBdr>
          <w:bottom w:val="none" w:color="auto" w:sz="0" w:space="0"/>
        </w:pBd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（7）绩效目标。完成单位资金正常支出。</w:t>
      </w:r>
    </w:p>
    <w:p w14:paraId="7CC5AE2B">
      <w:pPr>
        <w:topLinePunct/>
        <w:spacing w:line="560" w:lineRule="exact"/>
      </w:pPr>
    </w:p>
    <w:tbl>
      <w:tblPr>
        <w:tblStyle w:val="18"/>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6E895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vAlign w:val="center"/>
          </w:tcPr>
          <w:p w14:paraId="1001ABB1">
            <w:pPr>
              <w:widowControl/>
              <w:jc w:val="center"/>
              <w:rPr>
                <w:rFonts w:hint="eastAsia" w:ascii="方正小标宋_GBK" w:eastAsia="方正小标宋_GBK" w:cs="宋体"/>
                <w:bCs/>
                <w:szCs w:val="32"/>
              </w:rPr>
            </w:pPr>
            <w:r>
              <w:rPr>
                <w:rFonts w:hint="eastAsia" w:ascii="方正小标宋_GBK" w:hAnsi="宋体" w:eastAsia="方正小标宋_GBK" w:cs="宋体"/>
                <w:color w:val="000000"/>
                <w:kern w:val="0"/>
                <w:sz w:val="28"/>
                <w:szCs w:val="28"/>
                <w:lang w:bidi="ar"/>
              </w:rPr>
              <w:t>项目支出绩效目标表</w:t>
            </w:r>
          </w:p>
        </w:tc>
      </w:tr>
      <w:tr w14:paraId="407F1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vAlign w:val="center"/>
          </w:tcPr>
          <w:p w14:paraId="3D2C27D9">
            <w:pPr>
              <w:widowControl/>
              <w:jc w:val="center"/>
              <w:rPr>
                <w:rFonts w:ascii="宋体" w:cs="宋体"/>
                <w:sz w:val="20"/>
              </w:rPr>
            </w:pPr>
            <w:r>
              <w:rPr>
                <w:rFonts w:hint="eastAsia" w:ascii="宋体" w:hAnsi="宋体" w:cs="宋体"/>
                <w:color w:val="000000"/>
                <w:kern w:val="0"/>
                <w:sz w:val="20"/>
                <w:szCs w:val="20"/>
                <w:lang w:bidi="ar"/>
              </w:rPr>
              <w:t xml:space="preserve"> （2026年度）                                </w:t>
            </w:r>
          </w:p>
        </w:tc>
      </w:tr>
      <w:tr w14:paraId="7ED6A7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Align w:val="center"/>
          </w:tcPr>
          <w:p w14:paraId="475623F5">
            <w:pPr>
              <w:spacing w:line="260" w:lineRule="exact"/>
              <w:jc w:val="center"/>
              <w:rPr>
                <w:rFonts w:ascii="宋体" w:cs="宋体"/>
                <w:sz w:val="18"/>
                <w:szCs w:val="18"/>
              </w:rPr>
            </w:pPr>
            <w:r>
              <w:rPr>
                <w:rFonts w:hint="eastAsia" w:ascii="宋体" w:hAnsi="宋体" w:cs="宋体"/>
                <w:color w:val="000000"/>
                <w:kern w:val="0"/>
                <w:sz w:val="18"/>
                <w:szCs w:val="18"/>
                <w:lang w:bidi="ar"/>
              </w:rPr>
              <w:t>项目名称</w:t>
            </w:r>
          </w:p>
        </w:tc>
        <w:tc>
          <w:tcPr>
            <w:tcW w:w="7577" w:type="dxa"/>
            <w:gridSpan w:val="4"/>
            <w:vAlign w:val="center"/>
          </w:tcPr>
          <w:p w14:paraId="0EFF31F3">
            <w:pPr>
              <w:spacing w:line="260" w:lineRule="exact"/>
              <w:jc w:val="center"/>
              <w:rPr>
                <w:rFonts w:ascii="宋体" w:cs="宋体"/>
                <w:sz w:val="18"/>
                <w:szCs w:val="18"/>
              </w:rPr>
            </w:pPr>
            <w:r>
              <w:rPr>
                <w:rFonts w:hint="eastAsia" w:ascii="宋体" w:cs="宋体"/>
                <w:sz w:val="18"/>
                <w:szCs w:val="18"/>
              </w:rPr>
              <w:t>乡镇卫生院医疗卫生支出</w:t>
            </w:r>
          </w:p>
        </w:tc>
      </w:tr>
      <w:tr w14:paraId="21449D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trPr>
        <w:tc>
          <w:tcPr>
            <w:tcW w:w="1443" w:type="dxa"/>
            <w:gridSpan w:val="3"/>
            <w:vAlign w:val="center"/>
          </w:tcPr>
          <w:p w14:paraId="620F1024">
            <w:pPr>
              <w:spacing w:line="260" w:lineRule="exact"/>
              <w:jc w:val="center"/>
              <w:rPr>
                <w:rFonts w:ascii="宋体" w:cs="宋体"/>
                <w:sz w:val="18"/>
                <w:szCs w:val="18"/>
              </w:rPr>
            </w:pPr>
            <w:r>
              <w:rPr>
                <w:rFonts w:hint="eastAsia" w:ascii="宋体" w:hAnsi="宋体" w:cs="宋体"/>
                <w:color w:val="000000"/>
                <w:kern w:val="0"/>
                <w:sz w:val="18"/>
                <w:szCs w:val="18"/>
                <w:lang w:bidi="ar"/>
              </w:rPr>
              <w:t>主管部门    及代码</w:t>
            </w:r>
          </w:p>
        </w:tc>
        <w:tc>
          <w:tcPr>
            <w:tcW w:w="3349" w:type="dxa"/>
            <w:gridSpan w:val="2"/>
            <w:vAlign w:val="center"/>
          </w:tcPr>
          <w:p w14:paraId="0ADEAEC9">
            <w:pPr>
              <w:spacing w:line="260" w:lineRule="exact"/>
              <w:jc w:val="center"/>
              <w:rPr>
                <w:rFonts w:ascii="宋体" w:cs="宋体"/>
                <w:sz w:val="18"/>
                <w:szCs w:val="18"/>
              </w:rPr>
            </w:pPr>
            <w:r>
              <w:rPr>
                <w:rFonts w:ascii="宋体" w:hAnsi="宋体" w:eastAsia="宋体" w:cs="宋体"/>
                <w:i w:val="0"/>
                <w:strike w:val="0"/>
                <w:color w:val="000000"/>
                <w:sz w:val="18"/>
                <w:u w:val="none"/>
              </w:rPr>
              <w:t>寿县卫生健康委员会153032</w:t>
            </w:r>
          </w:p>
        </w:tc>
        <w:tc>
          <w:tcPr>
            <w:tcW w:w="1848" w:type="dxa"/>
            <w:vAlign w:val="center"/>
          </w:tcPr>
          <w:p w14:paraId="3206472D">
            <w:pPr>
              <w:spacing w:line="260" w:lineRule="exact"/>
              <w:jc w:val="center"/>
              <w:rPr>
                <w:sz w:val="18"/>
                <w:szCs w:val="18"/>
              </w:rPr>
            </w:pPr>
            <w:r>
              <w:rPr>
                <w:rFonts w:hint="eastAsia" w:ascii="宋体" w:hAnsi="宋体" w:cs="宋体"/>
                <w:color w:val="000000"/>
                <w:kern w:val="0"/>
                <w:sz w:val="18"/>
                <w:szCs w:val="18"/>
                <w:lang w:bidi="ar"/>
              </w:rPr>
              <w:t>实施单位</w:t>
            </w:r>
          </w:p>
        </w:tc>
        <w:tc>
          <w:tcPr>
            <w:tcW w:w="2380" w:type="dxa"/>
            <w:vAlign w:val="center"/>
          </w:tcPr>
          <w:p w14:paraId="77AD695B">
            <w:pPr>
              <w:spacing w:line="260" w:lineRule="exact"/>
              <w:jc w:val="center"/>
              <w:rPr>
                <w:sz w:val="18"/>
                <w:szCs w:val="18"/>
              </w:rPr>
            </w:pPr>
            <w:r>
              <w:rPr>
                <w:rFonts w:ascii="宋体" w:hAnsi="宋体" w:eastAsia="宋体" w:cs="宋体"/>
                <w:i w:val="0"/>
                <w:strike w:val="0"/>
                <w:color w:val="000000"/>
                <w:sz w:val="18"/>
                <w:u w:val="none"/>
              </w:rPr>
              <w:t>寿县众兴镇卫生院</w:t>
            </w:r>
          </w:p>
        </w:tc>
      </w:tr>
      <w:tr w14:paraId="40C255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Align w:val="center"/>
          </w:tcPr>
          <w:p w14:paraId="23A28744">
            <w:pPr>
              <w:spacing w:line="260" w:lineRule="exact"/>
              <w:jc w:val="center"/>
              <w:rPr>
                <w:rFonts w:ascii="宋体" w:cs="宋体"/>
                <w:sz w:val="18"/>
                <w:szCs w:val="18"/>
              </w:rPr>
            </w:pPr>
            <w:r>
              <w:rPr>
                <w:rFonts w:hint="eastAsia" w:ascii="宋体" w:hAnsi="宋体" w:cs="宋体"/>
                <w:color w:val="000000"/>
                <w:kern w:val="0"/>
                <w:sz w:val="18"/>
                <w:szCs w:val="18"/>
                <w:lang w:bidi="ar"/>
              </w:rPr>
              <w:t>项目来源</w:t>
            </w:r>
          </w:p>
        </w:tc>
        <w:tc>
          <w:tcPr>
            <w:tcW w:w="3349" w:type="dxa"/>
            <w:gridSpan w:val="2"/>
            <w:vAlign w:val="center"/>
          </w:tcPr>
          <w:p w14:paraId="748FFEC7">
            <w:pPr>
              <w:spacing w:line="260" w:lineRule="exact"/>
              <w:jc w:val="center"/>
              <w:rPr>
                <w:rFonts w:ascii="宋体" w:cs="宋体"/>
                <w:sz w:val="18"/>
                <w:szCs w:val="18"/>
              </w:rPr>
            </w:pPr>
            <w:r>
              <w:rPr>
                <w:rFonts w:hint="eastAsia" w:ascii="宋体" w:cs="宋体"/>
                <w:sz w:val="18"/>
                <w:szCs w:val="18"/>
              </w:rPr>
              <w:t>单位资金</w:t>
            </w:r>
          </w:p>
        </w:tc>
        <w:tc>
          <w:tcPr>
            <w:tcW w:w="1848" w:type="dxa"/>
            <w:vAlign w:val="center"/>
          </w:tcPr>
          <w:p w14:paraId="59ED5329">
            <w:pPr>
              <w:spacing w:line="260" w:lineRule="exact"/>
              <w:jc w:val="center"/>
              <w:rPr>
                <w:sz w:val="18"/>
                <w:szCs w:val="18"/>
              </w:rPr>
            </w:pPr>
            <w:r>
              <w:rPr>
                <w:rFonts w:hint="eastAsia" w:ascii="宋体" w:hAnsi="宋体" w:cs="宋体"/>
                <w:color w:val="000000"/>
                <w:kern w:val="0"/>
                <w:sz w:val="18"/>
                <w:szCs w:val="18"/>
                <w:lang w:bidi="ar"/>
              </w:rPr>
              <w:t>项目期</w:t>
            </w:r>
          </w:p>
        </w:tc>
        <w:tc>
          <w:tcPr>
            <w:tcW w:w="2380" w:type="dxa"/>
            <w:vAlign w:val="center"/>
          </w:tcPr>
          <w:p w14:paraId="0F8A7E99">
            <w:pPr>
              <w:spacing w:line="260" w:lineRule="exact"/>
              <w:jc w:val="center"/>
              <w:rPr>
                <w:sz w:val="18"/>
                <w:szCs w:val="18"/>
              </w:rPr>
            </w:pPr>
            <w:r>
              <w:rPr>
                <w:rFonts w:ascii="Times New Roman" w:hAnsi="Times New Roman" w:cs="Times New Roman"/>
                <w:i w:val="0"/>
                <w:strike w:val="0"/>
                <w:color w:val="000000"/>
                <w:sz w:val="18"/>
                <w:u w:val="none"/>
              </w:rPr>
              <w:t>202</w:t>
            </w:r>
            <w:r>
              <w:rPr>
                <w:rFonts w:hint="eastAsia" w:ascii="Times New Roman" w:hAnsi="Times New Roman" w:cs="Times New Roman"/>
                <w:i w:val="0"/>
                <w:strike w:val="0"/>
                <w:color w:val="000000"/>
                <w:sz w:val="18"/>
                <w:u w:val="none"/>
              </w:rPr>
              <w:t>6</w:t>
            </w:r>
            <w:r>
              <w:rPr>
                <w:rFonts w:ascii="Times New Roman" w:hAnsi="Times New Roman" w:cs="Times New Roman"/>
                <w:i w:val="0"/>
                <w:strike w:val="0"/>
                <w:color w:val="000000"/>
                <w:sz w:val="18"/>
                <w:u w:val="none"/>
              </w:rPr>
              <w:t>.01-202</w:t>
            </w:r>
            <w:r>
              <w:rPr>
                <w:rFonts w:hint="eastAsia" w:ascii="Times New Roman" w:hAnsi="Times New Roman" w:cs="Times New Roman"/>
                <w:i w:val="0"/>
                <w:strike w:val="0"/>
                <w:color w:val="000000"/>
                <w:sz w:val="18"/>
                <w:u w:val="none"/>
              </w:rPr>
              <w:t>6</w:t>
            </w:r>
            <w:r>
              <w:rPr>
                <w:rFonts w:ascii="Times New Roman" w:hAnsi="Times New Roman" w:cs="Times New Roman"/>
                <w:i w:val="0"/>
                <w:strike w:val="0"/>
                <w:color w:val="000000"/>
                <w:sz w:val="18"/>
                <w:u w:val="none"/>
              </w:rPr>
              <w:t>.12</w:t>
            </w:r>
          </w:p>
        </w:tc>
      </w:tr>
      <w:tr w14:paraId="301658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Merge w:val="restart"/>
            <w:vAlign w:val="center"/>
          </w:tcPr>
          <w:p w14:paraId="36ED97D6">
            <w:pPr>
              <w:spacing w:line="260" w:lineRule="exact"/>
              <w:jc w:val="center"/>
              <w:rPr>
                <w:rFonts w:ascii="宋体" w:cs="宋体"/>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（万元）</w:t>
            </w:r>
          </w:p>
        </w:tc>
        <w:tc>
          <w:tcPr>
            <w:tcW w:w="3349" w:type="dxa"/>
            <w:gridSpan w:val="2"/>
            <w:vAlign w:val="center"/>
          </w:tcPr>
          <w:p w14:paraId="7A5C4044">
            <w:pPr>
              <w:spacing w:line="260" w:lineRule="exact"/>
              <w:jc w:val="left"/>
              <w:rPr>
                <w:rFonts w:ascii="宋体" w:cs="宋体"/>
                <w:sz w:val="18"/>
                <w:szCs w:val="18"/>
              </w:rPr>
            </w:pPr>
            <w:r>
              <w:rPr>
                <w:rFonts w:hint="eastAsia" w:ascii="宋体" w:hAnsi="宋体" w:cs="宋体"/>
                <w:color w:val="000000"/>
                <w:kern w:val="0"/>
                <w:sz w:val="18"/>
                <w:szCs w:val="18"/>
                <w:lang w:bidi="ar"/>
              </w:rPr>
              <w:t xml:space="preserve"> 年度资金总额：</w:t>
            </w:r>
          </w:p>
        </w:tc>
        <w:tc>
          <w:tcPr>
            <w:tcW w:w="4228" w:type="dxa"/>
            <w:gridSpan w:val="2"/>
            <w:vAlign w:val="center"/>
          </w:tcPr>
          <w:p w14:paraId="2CB64F71">
            <w:pPr>
              <w:spacing w:line="260" w:lineRule="exact"/>
              <w:jc w:val="center"/>
              <w:rPr>
                <w:rFonts w:ascii="宋体" w:cs="宋体"/>
                <w:sz w:val="18"/>
                <w:szCs w:val="18"/>
              </w:rPr>
            </w:pPr>
            <w:r>
              <w:rPr>
                <w:rFonts w:hint="eastAsia" w:ascii="宋体" w:cs="宋体"/>
                <w:sz w:val="18"/>
                <w:szCs w:val="18"/>
              </w:rPr>
              <w:t>500</w:t>
            </w:r>
          </w:p>
        </w:tc>
      </w:tr>
      <w:tr w14:paraId="4A0EA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Merge w:val="continue"/>
            <w:vAlign w:val="center"/>
          </w:tcPr>
          <w:p w14:paraId="7969E1C6">
            <w:pPr>
              <w:spacing w:line="260" w:lineRule="exact"/>
              <w:jc w:val="center"/>
              <w:rPr>
                <w:rFonts w:ascii="宋体" w:cs="宋体"/>
                <w:sz w:val="18"/>
                <w:szCs w:val="18"/>
              </w:rPr>
            </w:pPr>
          </w:p>
        </w:tc>
        <w:tc>
          <w:tcPr>
            <w:tcW w:w="3349" w:type="dxa"/>
            <w:gridSpan w:val="2"/>
            <w:vAlign w:val="center"/>
          </w:tcPr>
          <w:p w14:paraId="47B8FF32">
            <w:pPr>
              <w:spacing w:line="260" w:lineRule="exact"/>
              <w:jc w:val="left"/>
              <w:rPr>
                <w:rFonts w:ascii="宋体" w:cs="宋体"/>
                <w:sz w:val="18"/>
                <w:szCs w:val="18"/>
              </w:rPr>
            </w:pPr>
            <w:r>
              <w:rPr>
                <w:rFonts w:hint="eastAsia" w:ascii="宋体" w:hAnsi="宋体" w:cs="宋体"/>
                <w:color w:val="000000"/>
                <w:kern w:val="0"/>
                <w:sz w:val="18"/>
                <w:szCs w:val="18"/>
                <w:lang w:bidi="ar"/>
              </w:rPr>
              <w:t xml:space="preserve">   其中：财政拨款</w:t>
            </w:r>
          </w:p>
        </w:tc>
        <w:tc>
          <w:tcPr>
            <w:tcW w:w="4228" w:type="dxa"/>
            <w:gridSpan w:val="2"/>
            <w:vAlign w:val="center"/>
          </w:tcPr>
          <w:p w14:paraId="4069CF49">
            <w:pPr>
              <w:spacing w:line="260" w:lineRule="exact"/>
              <w:jc w:val="center"/>
              <w:rPr>
                <w:rFonts w:ascii="宋体" w:cs="宋体"/>
                <w:sz w:val="18"/>
                <w:szCs w:val="18"/>
              </w:rPr>
            </w:pPr>
          </w:p>
        </w:tc>
      </w:tr>
      <w:tr w14:paraId="4269C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Merge w:val="continue"/>
            <w:vAlign w:val="center"/>
          </w:tcPr>
          <w:p w14:paraId="44F3C42A">
            <w:pPr>
              <w:spacing w:line="260" w:lineRule="exact"/>
              <w:jc w:val="center"/>
              <w:rPr>
                <w:rFonts w:ascii="宋体" w:cs="宋体"/>
                <w:sz w:val="18"/>
                <w:szCs w:val="18"/>
              </w:rPr>
            </w:pPr>
          </w:p>
        </w:tc>
        <w:tc>
          <w:tcPr>
            <w:tcW w:w="3349" w:type="dxa"/>
            <w:gridSpan w:val="2"/>
            <w:vAlign w:val="center"/>
          </w:tcPr>
          <w:p w14:paraId="6DABAD2C">
            <w:pPr>
              <w:spacing w:line="260" w:lineRule="exact"/>
              <w:jc w:val="left"/>
              <w:rPr>
                <w:rFonts w:ascii="宋体" w:cs="宋体"/>
                <w:sz w:val="18"/>
                <w:szCs w:val="18"/>
              </w:rPr>
            </w:pPr>
            <w:r>
              <w:rPr>
                <w:rFonts w:hint="eastAsia" w:ascii="宋体" w:hAnsi="宋体" w:cs="宋体"/>
                <w:color w:val="000000"/>
                <w:kern w:val="0"/>
                <w:sz w:val="18"/>
                <w:szCs w:val="18"/>
                <w:lang w:bidi="ar"/>
              </w:rPr>
              <w:t xml:space="preserve">         上年结转</w:t>
            </w:r>
          </w:p>
        </w:tc>
        <w:tc>
          <w:tcPr>
            <w:tcW w:w="4228" w:type="dxa"/>
            <w:gridSpan w:val="2"/>
            <w:vAlign w:val="center"/>
          </w:tcPr>
          <w:p w14:paraId="12B69739">
            <w:pPr>
              <w:spacing w:line="260" w:lineRule="exact"/>
              <w:jc w:val="center"/>
              <w:rPr>
                <w:rFonts w:ascii="宋体" w:cs="宋体"/>
                <w:sz w:val="18"/>
                <w:szCs w:val="18"/>
              </w:rPr>
            </w:pPr>
          </w:p>
        </w:tc>
      </w:tr>
      <w:tr w14:paraId="37EDE0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trPr>
        <w:tc>
          <w:tcPr>
            <w:tcW w:w="1443" w:type="dxa"/>
            <w:gridSpan w:val="3"/>
            <w:vMerge w:val="continue"/>
            <w:vAlign w:val="center"/>
          </w:tcPr>
          <w:p w14:paraId="2DC83BCA">
            <w:pPr>
              <w:spacing w:line="260" w:lineRule="exact"/>
              <w:jc w:val="center"/>
              <w:rPr>
                <w:rFonts w:ascii="宋体" w:cs="宋体"/>
                <w:sz w:val="18"/>
                <w:szCs w:val="18"/>
              </w:rPr>
            </w:pPr>
          </w:p>
        </w:tc>
        <w:tc>
          <w:tcPr>
            <w:tcW w:w="3349" w:type="dxa"/>
            <w:gridSpan w:val="2"/>
            <w:vAlign w:val="center"/>
          </w:tcPr>
          <w:p w14:paraId="70B9ED37">
            <w:pPr>
              <w:spacing w:line="260" w:lineRule="exact"/>
              <w:jc w:val="left"/>
              <w:rPr>
                <w:rFonts w:ascii="宋体" w:cs="宋体"/>
                <w:sz w:val="18"/>
                <w:szCs w:val="18"/>
              </w:rPr>
            </w:pPr>
            <w:r>
              <w:rPr>
                <w:rFonts w:hint="eastAsia" w:ascii="宋体" w:hAnsi="宋体" w:cs="宋体"/>
                <w:color w:val="000000"/>
                <w:kern w:val="0"/>
                <w:sz w:val="18"/>
                <w:szCs w:val="18"/>
                <w:lang w:bidi="ar"/>
              </w:rPr>
              <w:t xml:space="preserve">         其他资金</w:t>
            </w:r>
          </w:p>
        </w:tc>
        <w:tc>
          <w:tcPr>
            <w:tcW w:w="4228" w:type="dxa"/>
            <w:gridSpan w:val="2"/>
            <w:vAlign w:val="center"/>
          </w:tcPr>
          <w:p w14:paraId="23A10F5F">
            <w:pPr>
              <w:spacing w:line="260" w:lineRule="exact"/>
              <w:jc w:val="center"/>
              <w:rPr>
                <w:rFonts w:ascii="宋体" w:cs="宋体"/>
                <w:sz w:val="18"/>
                <w:szCs w:val="18"/>
              </w:rPr>
            </w:pPr>
            <w:r>
              <w:rPr>
                <w:rFonts w:hint="eastAsia" w:ascii="宋体" w:cs="宋体"/>
                <w:sz w:val="18"/>
                <w:szCs w:val="18"/>
              </w:rPr>
              <w:t>500</w:t>
            </w:r>
          </w:p>
        </w:tc>
      </w:tr>
      <w:tr w14:paraId="0F565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atLeast"/>
        </w:trPr>
        <w:tc>
          <w:tcPr>
            <w:tcW w:w="438" w:type="dxa"/>
            <w:vAlign w:val="center"/>
          </w:tcPr>
          <w:p w14:paraId="1BB69E31">
            <w:pPr>
              <w:spacing w:line="260" w:lineRule="exact"/>
              <w:jc w:val="center"/>
              <w:rPr>
                <w:rFonts w:ascii="宋体" w:cs="宋体"/>
                <w:sz w:val="18"/>
                <w:szCs w:val="18"/>
              </w:rPr>
            </w:pPr>
            <w:r>
              <w:rPr>
                <w:rFonts w:hint="eastAsia" w:ascii="宋体" w:hAnsi="宋体" w:cs="宋体"/>
                <w:color w:val="000000"/>
                <w:kern w:val="0"/>
                <w:sz w:val="18"/>
                <w:szCs w:val="18"/>
                <w:lang w:bidi="ar"/>
              </w:rPr>
              <w:t>年度</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目标</w:t>
            </w:r>
          </w:p>
        </w:tc>
        <w:tc>
          <w:tcPr>
            <w:tcW w:w="8582" w:type="dxa"/>
            <w:gridSpan w:val="6"/>
            <w:vAlign w:val="center"/>
          </w:tcPr>
          <w:p w14:paraId="2BECB1D0">
            <w:pPr>
              <w:spacing w:line="260" w:lineRule="exact"/>
              <w:jc w:val="left"/>
              <w:rPr>
                <w:rFonts w:ascii="宋体" w:cs="宋体"/>
                <w:sz w:val="18"/>
                <w:szCs w:val="18"/>
              </w:rPr>
            </w:pPr>
            <w:r>
              <w:rPr>
                <w:rFonts w:ascii="宋体" w:hAnsi="宋体" w:eastAsia="宋体" w:cs="宋体"/>
                <w:i w:val="0"/>
                <w:strike w:val="0"/>
                <w:color w:val="000000"/>
                <w:sz w:val="18"/>
                <w:u w:val="none"/>
              </w:rPr>
              <w:t>按照“保基本、强基层、建机制”的要求。继续深化医药卫生体制改革，进一步完善医疗卫生核心制度，持续加强医疗服务体系、公共卫生服务体系、医疗卫生应急体系建设，完善和深化国家基本药物制度，继续做好中医药民族医药工作，切实规范医疗服务行为，统筹医疗卫生事业全面发展</w:t>
            </w:r>
            <w:r>
              <w:rPr>
                <w:rFonts w:hint="eastAsia" w:ascii="宋体" w:hAnsi="宋体" w:eastAsia="宋体" w:cs="宋体"/>
                <w:i w:val="0"/>
                <w:strike w:val="0"/>
                <w:color w:val="000000"/>
                <w:sz w:val="18"/>
                <w:u w:val="none"/>
              </w:rPr>
              <w:t>。</w:t>
            </w:r>
          </w:p>
        </w:tc>
      </w:tr>
      <w:tr w14:paraId="02317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8" w:hRule="atLeast"/>
        </w:trPr>
        <w:tc>
          <w:tcPr>
            <w:tcW w:w="438" w:type="dxa"/>
            <w:vMerge w:val="restart"/>
            <w:vAlign w:val="center"/>
          </w:tcPr>
          <w:p w14:paraId="31EF4402">
            <w:pPr>
              <w:spacing w:line="260" w:lineRule="exact"/>
              <w:jc w:val="center"/>
              <w:rPr>
                <w:rFonts w:ascii="宋体" w:cs="宋体"/>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标</w:t>
            </w:r>
          </w:p>
        </w:tc>
        <w:tc>
          <w:tcPr>
            <w:tcW w:w="723" w:type="dxa"/>
            <w:vAlign w:val="center"/>
          </w:tcPr>
          <w:p w14:paraId="29B25D85">
            <w:pPr>
              <w:spacing w:line="260" w:lineRule="exact"/>
              <w:jc w:val="center"/>
              <w:rPr>
                <w:rFonts w:ascii="宋体" w:cs="宋体"/>
                <w:sz w:val="18"/>
                <w:szCs w:val="18"/>
              </w:rPr>
            </w:pPr>
            <w:r>
              <w:rPr>
                <w:rFonts w:hint="eastAsia" w:ascii="宋体" w:hAnsi="宋体" w:cs="宋体"/>
                <w:color w:val="000000"/>
                <w:kern w:val="0"/>
                <w:sz w:val="18"/>
                <w:szCs w:val="18"/>
                <w:lang w:bidi="ar"/>
              </w:rPr>
              <w:t>一级</w:t>
            </w:r>
            <w:r>
              <w:rPr>
                <w:rFonts w:hint="eastAsia" w:ascii="宋体" w:hAnsi="宋体" w:cs="宋体"/>
                <w:color w:val="000000"/>
                <w:kern w:val="0"/>
                <w:sz w:val="18"/>
                <w:szCs w:val="18"/>
                <w:lang w:bidi="ar"/>
              </w:rPr>
              <w:br w:type="textWrapping" w:clear="all"/>
            </w:r>
            <w:r>
              <w:rPr>
                <w:rFonts w:hint="eastAsia" w:ascii="宋体" w:hAnsi="宋体" w:cs="宋体"/>
                <w:color w:val="000000"/>
                <w:kern w:val="0"/>
                <w:sz w:val="18"/>
                <w:szCs w:val="18"/>
                <w:lang w:bidi="ar"/>
              </w:rPr>
              <w:t>指标</w:t>
            </w:r>
          </w:p>
        </w:tc>
        <w:tc>
          <w:tcPr>
            <w:tcW w:w="759" w:type="dxa"/>
            <w:gridSpan w:val="2"/>
            <w:vAlign w:val="center"/>
          </w:tcPr>
          <w:p w14:paraId="188ABF8C">
            <w:pPr>
              <w:spacing w:line="260" w:lineRule="exact"/>
              <w:jc w:val="center"/>
              <w:rPr>
                <w:rFonts w:ascii="宋体" w:cs="宋体"/>
                <w:sz w:val="18"/>
                <w:szCs w:val="18"/>
              </w:rPr>
            </w:pPr>
            <w:r>
              <w:rPr>
                <w:rFonts w:hint="eastAsia" w:ascii="宋体" w:hAnsi="宋体" w:cs="宋体"/>
                <w:color w:val="000000"/>
                <w:kern w:val="0"/>
                <w:sz w:val="18"/>
                <w:szCs w:val="18"/>
                <w:lang w:bidi="ar"/>
              </w:rPr>
              <w:t>二级指标</w:t>
            </w:r>
          </w:p>
        </w:tc>
        <w:tc>
          <w:tcPr>
            <w:tcW w:w="2872" w:type="dxa"/>
            <w:vAlign w:val="center"/>
          </w:tcPr>
          <w:p w14:paraId="6194C0EA">
            <w:pPr>
              <w:spacing w:line="260" w:lineRule="exact"/>
              <w:jc w:val="center"/>
              <w:rPr>
                <w:rFonts w:ascii="宋体" w:cs="宋体"/>
                <w:sz w:val="18"/>
                <w:szCs w:val="18"/>
              </w:rPr>
            </w:pPr>
            <w:r>
              <w:rPr>
                <w:rFonts w:hint="eastAsia" w:ascii="宋体" w:hAnsi="宋体" w:cs="宋体"/>
                <w:color w:val="000000"/>
                <w:kern w:val="0"/>
                <w:sz w:val="18"/>
                <w:szCs w:val="18"/>
                <w:lang w:bidi="ar"/>
              </w:rPr>
              <w:t>三级指标</w:t>
            </w:r>
          </w:p>
        </w:tc>
        <w:tc>
          <w:tcPr>
            <w:tcW w:w="4228" w:type="dxa"/>
            <w:gridSpan w:val="2"/>
            <w:vAlign w:val="center"/>
          </w:tcPr>
          <w:p w14:paraId="0C0C3D32">
            <w:pPr>
              <w:spacing w:line="260" w:lineRule="exact"/>
              <w:jc w:val="center"/>
              <w:rPr>
                <w:rFonts w:ascii="宋体" w:cs="宋体"/>
                <w:sz w:val="18"/>
                <w:szCs w:val="18"/>
              </w:rPr>
            </w:pPr>
            <w:r>
              <w:rPr>
                <w:rFonts w:hint="eastAsia" w:ascii="宋体" w:hAnsi="宋体" w:cs="宋体"/>
                <w:color w:val="000000"/>
                <w:kern w:val="0"/>
                <w:sz w:val="18"/>
                <w:szCs w:val="18"/>
                <w:lang w:bidi="ar"/>
              </w:rPr>
              <w:t>指标值</w:t>
            </w:r>
          </w:p>
        </w:tc>
      </w:tr>
      <w:tr w14:paraId="6A76F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2" w:hRule="atLeast"/>
        </w:trPr>
        <w:tc>
          <w:tcPr>
            <w:tcW w:w="438" w:type="dxa"/>
            <w:vMerge w:val="continue"/>
            <w:vAlign w:val="center"/>
          </w:tcPr>
          <w:p w14:paraId="0CBCAF11">
            <w:pPr>
              <w:spacing w:line="260" w:lineRule="exact"/>
              <w:jc w:val="center"/>
              <w:rPr>
                <w:rFonts w:ascii="宋体" w:cs="宋体"/>
                <w:sz w:val="18"/>
                <w:szCs w:val="18"/>
              </w:rPr>
            </w:pPr>
          </w:p>
        </w:tc>
        <w:tc>
          <w:tcPr>
            <w:tcW w:w="723" w:type="dxa"/>
            <w:vMerge w:val="restart"/>
            <w:vAlign w:val="center"/>
          </w:tcPr>
          <w:p w14:paraId="4DA183E5">
            <w:pPr>
              <w:spacing w:line="260" w:lineRule="exact"/>
              <w:jc w:val="center"/>
              <w:rPr>
                <w:rFonts w:ascii="宋体" w:cs="宋体"/>
                <w:sz w:val="18"/>
                <w:szCs w:val="18"/>
              </w:rPr>
            </w:pPr>
            <w:r>
              <w:rPr>
                <w:rFonts w:hint="eastAsia" w:ascii="宋体" w:hAnsi="宋体" w:cs="宋体"/>
                <w:color w:val="000000"/>
                <w:kern w:val="0"/>
                <w:sz w:val="18"/>
                <w:szCs w:val="18"/>
                <w:lang w:bidi="ar"/>
              </w:rPr>
              <w:t>产出指标</w:t>
            </w:r>
          </w:p>
        </w:tc>
        <w:tc>
          <w:tcPr>
            <w:tcW w:w="759" w:type="dxa"/>
            <w:gridSpan w:val="2"/>
            <w:vAlign w:val="center"/>
          </w:tcPr>
          <w:p w14:paraId="6EFB80ED">
            <w:pPr>
              <w:spacing w:line="260" w:lineRule="exact"/>
              <w:jc w:val="center"/>
              <w:rPr>
                <w:rFonts w:ascii="宋体" w:cs="宋体"/>
                <w:sz w:val="18"/>
                <w:szCs w:val="18"/>
              </w:rPr>
            </w:pPr>
            <w:r>
              <w:rPr>
                <w:rFonts w:hint="eastAsia" w:ascii="宋体" w:hAnsi="宋体" w:cs="宋体"/>
                <w:color w:val="000000"/>
                <w:kern w:val="0"/>
                <w:sz w:val="18"/>
                <w:szCs w:val="18"/>
                <w:lang w:bidi="ar"/>
              </w:rPr>
              <w:t>数量指标</w:t>
            </w:r>
          </w:p>
        </w:tc>
        <w:tc>
          <w:tcPr>
            <w:tcW w:w="2872" w:type="dxa"/>
            <w:vAlign w:val="center"/>
          </w:tcPr>
          <w:p w14:paraId="3713DCA0">
            <w:pPr>
              <w:spacing w:line="260" w:lineRule="exact"/>
              <w:jc w:val="left"/>
              <w:rPr>
                <w:rFonts w:ascii="宋体" w:cs="宋体"/>
                <w:sz w:val="18"/>
                <w:szCs w:val="18"/>
              </w:rPr>
            </w:pPr>
            <w:r>
              <w:rPr>
                <w:rFonts w:ascii="宋体" w:hAnsi="宋体" w:eastAsia="宋体" w:cs="宋体"/>
                <w:i w:val="0"/>
                <w:strike w:val="0"/>
                <w:color w:val="000000"/>
                <w:spacing w:val="0"/>
                <w:sz w:val="18"/>
                <w:u w:val="none"/>
                <w:vertAlign w:val="baseline"/>
              </w:rPr>
              <w:t>保障人员数量</w:t>
            </w:r>
          </w:p>
        </w:tc>
        <w:tc>
          <w:tcPr>
            <w:tcW w:w="4228" w:type="dxa"/>
            <w:gridSpan w:val="2"/>
            <w:vAlign w:val="center"/>
          </w:tcPr>
          <w:p w14:paraId="3BDE635D">
            <w:pPr>
              <w:spacing w:line="260" w:lineRule="exact"/>
              <w:jc w:val="center"/>
              <w:rPr>
                <w:rFonts w:ascii="宋体" w:cs="宋体"/>
                <w:sz w:val="18"/>
                <w:szCs w:val="18"/>
              </w:rPr>
            </w:pPr>
            <w:r>
              <w:rPr>
                <w:rFonts w:hint="eastAsia" w:ascii="宋体" w:cs="宋体"/>
                <w:sz w:val="18"/>
                <w:szCs w:val="18"/>
              </w:rPr>
              <w:t>全体工作人员</w:t>
            </w:r>
          </w:p>
        </w:tc>
      </w:tr>
      <w:tr w14:paraId="1806C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438" w:type="dxa"/>
            <w:vMerge w:val="continue"/>
            <w:vAlign w:val="center"/>
          </w:tcPr>
          <w:p w14:paraId="689A2968">
            <w:pPr>
              <w:spacing w:line="260" w:lineRule="exact"/>
              <w:jc w:val="center"/>
              <w:rPr>
                <w:rFonts w:ascii="宋体" w:cs="宋体"/>
                <w:sz w:val="18"/>
                <w:szCs w:val="18"/>
              </w:rPr>
            </w:pPr>
          </w:p>
        </w:tc>
        <w:tc>
          <w:tcPr>
            <w:tcW w:w="723" w:type="dxa"/>
            <w:vMerge w:val="continue"/>
            <w:vAlign w:val="center"/>
          </w:tcPr>
          <w:p w14:paraId="3D3AF1F1">
            <w:pPr>
              <w:spacing w:line="260" w:lineRule="exact"/>
              <w:jc w:val="center"/>
              <w:rPr>
                <w:rFonts w:ascii="宋体" w:cs="宋体"/>
                <w:sz w:val="18"/>
                <w:szCs w:val="18"/>
              </w:rPr>
            </w:pPr>
          </w:p>
        </w:tc>
        <w:tc>
          <w:tcPr>
            <w:tcW w:w="759" w:type="dxa"/>
            <w:gridSpan w:val="2"/>
            <w:vAlign w:val="center"/>
          </w:tcPr>
          <w:p w14:paraId="2941EA60">
            <w:pPr>
              <w:spacing w:line="260" w:lineRule="exact"/>
              <w:jc w:val="center"/>
              <w:rPr>
                <w:rFonts w:ascii="宋体" w:cs="宋体"/>
                <w:sz w:val="18"/>
                <w:szCs w:val="18"/>
              </w:rPr>
            </w:pPr>
            <w:r>
              <w:rPr>
                <w:rFonts w:hint="eastAsia" w:ascii="宋体" w:hAnsi="宋体" w:cs="宋体"/>
                <w:color w:val="000000"/>
                <w:kern w:val="0"/>
                <w:sz w:val="18"/>
                <w:szCs w:val="18"/>
                <w:lang w:bidi="ar"/>
              </w:rPr>
              <w:t>质量指标</w:t>
            </w:r>
          </w:p>
        </w:tc>
        <w:tc>
          <w:tcPr>
            <w:tcW w:w="2872" w:type="dxa"/>
            <w:vAlign w:val="center"/>
          </w:tcPr>
          <w:p w14:paraId="0060858C">
            <w:pPr>
              <w:spacing w:line="260" w:lineRule="exact"/>
              <w:jc w:val="left"/>
              <w:rPr>
                <w:rFonts w:ascii="宋体" w:cs="宋体"/>
                <w:sz w:val="18"/>
                <w:szCs w:val="18"/>
              </w:rPr>
            </w:pPr>
            <w:r>
              <w:rPr>
                <w:rFonts w:ascii="宋体" w:hAnsi="宋体" w:eastAsia="宋体" w:cs="宋体"/>
                <w:i w:val="0"/>
                <w:strike w:val="0"/>
                <w:color w:val="000000"/>
                <w:spacing w:val="0"/>
                <w:sz w:val="18"/>
                <w:u w:val="none"/>
                <w:vertAlign w:val="baseline"/>
              </w:rPr>
              <w:t>经费支出合规性</w:t>
            </w:r>
          </w:p>
        </w:tc>
        <w:tc>
          <w:tcPr>
            <w:tcW w:w="4228" w:type="dxa"/>
            <w:gridSpan w:val="2"/>
            <w:vAlign w:val="center"/>
          </w:tcPr>
          <w:p w14:paraId="56D6C68B">
            <w:pPr>
              <w:spacing w:line="260" w:lineRule="exact"/>
              <w:jc w:val="center"/>
              <w:rPr>
                <w:rFonts w:ascii="宋体" w:cs="宋体"/>
                <w:sz w:val="18"/>
                <w:szCs w:val="18"/>
              </w:rPr>
            </w:pPr>
            <w:r>
              <w:rPr>
                <w:rFonts w:ascii="宋体" w:hAnsi="宋体" w:eastAsia="宋体" w:cs="宋体"/>
                <w:i w:val="0"/>
                <w:strike w:val="0"/>
                <w:color w:val="000000"/>
                <w:spacing w:val="0"/>
                <w:sz w:val="18"/>
                <w:u w:val="none"/>
              </w:rPr>
              <w:t>100%</w:t>
            </w:r>
          </w:p>
        </w:tc>
      </w:tr>
      <w:tr w14:paraId="24C074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438" w:type="dxa"/>
            <w:vMerge w:val="continue"/>
            <w:vAlign w:val="center"/>
          </w:tcPr>
          <w:p w14:paraId="154C0A5F">
            <w:pPr>
              <w:spacing w:line="260" w:lineRule="exact"/>
              <w:jc w:val="center"/>
              <w:rPr>
                <w:rFonts w:ascii="宋体" w:cs="宋体"/>
                <w:sz w:val="18"/>
                <w:szCs w:val="18"/>
              </w:rPr>
            </w:pPr>
          </w:p>
        </w:tc>
        <w:tc>
          <w:tcPr>
            <w:tcW w:w="723" w:type="dxa"/>
            <w:vMerge w:val="continue"/>
            <w:vAlign w:val="center"/>
          </w:tcPr>
          <w:p w14:paraId="3B5427EB">
            <w:pPr>
              <w:spacing w:line="260" w:lineRule="exact"/>
              <w:jc w:val="center"/>
              <w:rPr>
                <w:rFonts w:ascii="宋体" w:cs="宋体"/>
                <w:sz w:val="18"/>
                <w:szCs w:val="18"/>
              </w:rPr>
            </w:pPr>
          </w:p>
        </w:tc>
        <w:tc>
          <w:tcPr>
            <w:tcW w:w="759" w:type="dxa"/>
            <w:gridSpan w:val="2"/>
            <w:vAlign w:val="center"/>
          </w:tcPr>
          <w:p w14:paraId="3EE5C69A">
            <w:pPr>
              <w:spacing w:line="260" w:lineRule="exact"/>
              <w:jc w:val="center"/>
              <w:rPr>
                <w:rFonts w:ascii="宋体" w:cs="宋体"/>
                <w:sz w:val="18"/>
                <w:szCs w:val="18"/>
              </w:rPr>
            </w:pPr>
            <w:r>
              <w:rPr>
                <w:rFonts w:hint="eastAsia" w:ascii="宋体" w:hAnsi="宋体" w:cs="宋体"/>
                <w:color w:val="000000"/>
                <w:kern w:val="0"/>
                <w:sz w:val="18"/>
                <w:szCs w:val="18"/>
                <w:lang w:bidi="ar"/>
              </w:rPr>
              <w:t>时效指标</w:t>
            </w:r>
          </w:p>
        </w:tc>
        <w:tc>
          <w:tcPr>
            <w:tcW w:w="2872" w:type="dxa"/>
            <w:vAlign w:val="center"/>
          </w:tcPr>
          <w:p w14:paraId="35C0301D">
            <w:pPr>
              <w:spacing w:line="260" w:lineRule="exact"/>
              <w:jc w:val="left"/>
              <w:rPr>
                <w:rFonts w:ascii="宋体" w:cs="宋体"/>
                <w:sz w:val="18"/>
                <w:szCs w:val="18"/>
              </w:rPr>
            </w:pPr>
            <w:r>
              <w:rPr>
                <w:rFonts w:ascii="宋体" w:hAnsi="宋体" w:eastAsia="宋体" w:cs="宋体"/>
                <w:i w:val="0"/>
                <w:strike w:val="0"/>
                <w:color w:val="000000"/>
                <w:spacing w:val="0"/>
                <w:sz w:val="18"/>
                <w:u w:val="none"/>
                <w:vertAlign w:val="baseline"/>
              </w:rPr>
              <w:t>及时发放工资</w:t>
            </w:r>
          </w:p>
        </w:tc>
        <w:tc>
          <w:tcPr>
            <w:tcW w:w="4228" w:type="dxa"/>
            <w:gridSpan w:val="2"/>
            <w:vAlign w:val="center"/>
          </w:tcPr>
          <w:p w14:paraId="3F81DA8E">
            <w:pPr>
              <w:spacing w:line="260" w:lineRule="exact"/>
              <w:jc w:val="center"/>
              <w:rPr>
                <w:rFonts w:ascii="宋体" w:cs="宋体"/>
                <w:sz w:val="18"/>
                <w:szCs w:val="18"/>
              </w:rPr>
            </w:pPr>
            <w:r>
              <w:rPr>
                <w:rFonts w:ascii="宋体" w:hAnsi="宋体" w:eastAsia="宋体" w:cs="宋体"/>
                <w:i w:val="0"/>
                <w:strike w:val="0"/>
                <w:color w:val="000000"/>
                <w:spacing w:val="0"/>
                <w:sz w:val="18"/>
                <w:u w:val="none"/>
              </w:rPr>
              <w:t>按月发放</w:t>
            </w:r>
          </w:p>
        </w:tc>
      </w:tr>
      <w:tr w14:paraId="09CB5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438" w:type="dxa"/>
            <w:vMerge w:val="continue"/>
            <w:vAlign w:val="center"/>
          </w:tcPr>
          <w:p w14:paraId="274B6E19">
            <w:pPr>
              <w:spacing w:line="260" w:lineRule="exact"/>
              <w:jc w:val="center"/>
              <w:rPr>
                <w:rFonts w:ascii="宋体" w:cs="宋体"/>
                <w:sz w:val="18"/>
                <w:szCs w:val="18"/>
              </w:rPr>
            </w:pPr>
          </w:p>
        </w:tc>
        <w:tc>
          <w:tcPr>
            <w:tcW w:w="723" w:type="dxa"/>
            <w:vMerge w:val="continue"/>
            <w:vAlign w:val="center"/>
          </w:tcPr>
          <w:p w14:paraId="65B41232">
            <w:pPr>
              <w:spacing w:line="260" w:lineRule="exact"/>
              <w:jc w:val="center"/>
              <w:rPr>
                <w:rFonts w:ascii="宋体" w:cs="宋体"/>
                <w:sz w:val="18"/>
                <w:szCs w:val="18"/>
              </w:rPr>
            </w:pPr>
          </w:p>
        </w:tc>
        <w:tc>
          <w:tcPr>
            <w:tcW w:w="759" w:type="dxa"/>
            <w:gridSpan w:val="2"/>
            <w:vAlign w:val="center"/>
          </w:tcPr>
          <w:p w14:paraId="4F55DA1B">
            <w:pPr>
              <w:spacing w:line="260" w:lineRule="exact"/>
              <w:jc w:val="center"/>
              <w:rPr>
                <w:rFonts w:ascii="宋体" w:cs="宋体"/>
                <w:sz w:val="18"/>
                <w:szCs w:val="18"/>
              </w:rPr>
            </w:pPr>
            <w:r>
              <w:rPr>
                <w:rFonts w:hint="eastAsia" w:ascii="宋体" w:hAnsi="宋体" w:cs="宋体"/>
                <w:color w:val="000000"/>
                <w:kern w:val="0"/>
                <w:sz w:val="18"/>
                <w:szCs w:val="18"/>
                <w:lang w:bidi="ar"/>
              </w:rPr>
              <w:t>成本指标</w:t>
            </w:r>
          </w:p>
        </w:tc>
        <w:tc>
          <w:tcPr>
            <w:tcW w:w="2872" w:type="dxa"/>
            <w:vAlign w:val="center"/>
          </w:tcPr>
          <w:p w14:paraId="5504ACBB">
            <w:pPr>
              <w:spacing w:line="260" w:lineRule="exact"/>
              <w:jc w:val="left"/>
              <w:rPr>
                <w:rFonts w:ascii="宋体" w:cs="宋体"/>
                <w:sz w:val="18"/>
                <w:szCs w:val="18"/>
              </w:rPr>
            </w:pPr>
            <w:r>
              <w:rPr>
                <w:rFonts w:hint="eastAsia" w:ascii="宋体" w:cs="宋体"/>
                <w:sz w:val="18"/>
                <w:szCs w:val="18"/>
              </w:rPr>
              <w:t>及时支付药品款、材料费等日常支出</w:t>
            </w:r>
          </w:p>
        </w:tc>
        <w:tc>
          <w:tcPr>
            <w:tcW w:w="4228" w:type="dxa"/>
            <w:gridSpan w:val="2"/>
            <w:vAlign w:val="center"/>
          </w:tcPr>
          <w:p w14:paraId="4461530C">
            <w:pPr>
              <w:spacing w:line="260" w:lineRule="exact"/>
              <w:jc w:val="center"/>
              <w:rPr>
                <w:rFonts w:ascii="宋体" w:cs="宋体"/>
                <w:sz w:val="18"/>
                <w:szCs w:val="18"/>
              </w:rPr>
            </w:pPr>
            <w:r>
              <w:rPr>
                <w:rFonts w:hint="eastAsia" w:ascii="宋体" w:cs="宋体"/>
                <w:sz w:val="18"/>
                <w:szCs w:val="18"/>
              </w:rPr>
              <w:t>正常支出</w:t>
            </w:r>
          </w:p>
        </w:tc>
      </w:tr>
      <w:tr w14:paraId="4A047F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38" w:type="dxa"/>
            <w:vMerge w:val="continue"/>
            <w:vAlign w:val="center"/>
          </w:tcPr>
          <w:p w14:paraId="4DAFCBC5">
            <w:pPr>
              <w:spacing w:line="260" w:lineRule="exact"/>
              <w:jc w:val="center"/>
              <w:rPr>
                <w:rFonts w:ascii="宋体" w:cs="宋体"/>
                <w:sz w:val="18"/>
                <w:szCs w:val="18"/>
              </w:rPr>
            </w:pPr>
          </w:p>
        </w:tc>
        <w:tc>
          <w:tcPr>
            <w:tcW w:w="723" w:type="dxa"/>
            <w:vAlign w:val="center"/>
          </w:tcPr>
          <w:p w14:paraId="1AE03FCB">
            <w:pPr>
              <w:spacing w:line="260" w:lineRule="exact"/>
              <w:jc w:val="center"/>
              <w:rPr>
                <w:rFonts w:ascii="宋体" w:cs="宋体"/>
                <w:sz w:val="18"/>
                <w:szCs w:val="18"/>
              </w:rPr>
            </w:pPr>
            <w:r>
              <w:rPr>
                <w:rFonts w:hint="eastAsia" w:ascii="宋体" w:hAnsi="宋体" w:cs="宋体"/>
                <w:color w:val="000000"/>
                <w:kern w:val="0"/>
                <w:sz w:val="18"/>
                <w:szCs w:val="18"/>
                <w:lang w:bidi="ar"/>
              </w:rPr>
              <w:t>社会效益指标</w:t>
            </w:r>
          </w:p>
          <w:p w14:paraId="18E4919E">
            <w:pPr>
              <w:spacing w:line="260" w:lineRule="exact"/>
              <w:jc w:val="center"/>
              <w:rPr>
                <w:rFonts w:ascii="宋体" w:cs="宋体"/>
                <w:sz w:val="18"/>
                <w:szCs w:val="18"/>
              </w:rPr>
            </w:pPr>
          </w:p>
        </w:tc>
        <w:tc>
          <w:tcPr>
            <w:tcW w:w="759" w:type="dxa"/>
            <w:gridSpan w:val="2"/>
            <w:vAlign w:val="center"/>
          </w:tcPr>
          <w:p w14:paraId="775C9706">
            <w:pPr>
              <w:spacing w:line="260" w:lineRule="exact"/>
              <w:jc w:val="center"/>
              <w:rPr>
                <w:rFonts w:ascii="宋体" w:cs="宋体"/>
                <w:sz w:val="18"/>
                <w:szCs w:val="18"/>
              </w:rPr>
            </w:pPr>
            <w:r>
              <w:rPr>
                <w:rFonts w:hint="eastAsia" w:ascii="宋体" w:hAnsi="宋体" w:cs="宋体"/>
                <w:color w:val="000000"/>
                <w:kern w:val="0"/>
                <w:sz w:val="18"/>
                <w:szCs w:val="18"/>
                <w:lang w:bidi="ar"/>
              </w:rPr>
              <w:t>社会效益指标</w:t>
            </w:r>
          </w:p>
        </w:tc>
        <w:tc>
          <w:tcPr>
            <w:tcW w:w="2872" w:type="dxa"/>
            <w:vAlign w:val="center"/>
          </w:tcPr>
          <w:p w14:paraId="4EA2E73C">
            <w:pPr>
              <w:spacing w:line="260" w:lineRule="exact"/>
              <w:jc w:val="left"/>
              <w:rPr>
                <w:rFonts w:ascii="宋体" w:cs="宋体"/>
                <w:sz w:val="18"/>
                <w:szCs w:val="18"/>
              </w:rPr>
            </w:pPr>
            <w:r>
              <w:rPr>
                <w:rFonts w:ascii="宋体" w:hAnsi="宋体" w:eastAsia="宋体" w:cs="宋体"/>
                <w:i w:val="0"/>
                <w:strike w:val="0"/>
                <w:color w:val="000000"/>
                <w:spacing w:val="0"/>
                <w:sz w:val="18"/>
                <w:u w:val="none"/>
                <w:vertAlign w:val="baseline"/>
              </w:rPr>
              <w:t>受益人覆盖率</w:t>
            </w:r>
          </w:p>
        </w:tc>
        <w:tc>
          <w:tcPr>
            <w:tcW w:w="4228" w:type="dxa"/>
            <w:gridSpan w:val="2"/>
            <w:vAlign w:val="center"/>
          </w:tcPr>
          <w:p w14:paraId="1F53E2EF">
            <w:pPr>
              <w:spacing w:line="260" w:lineRule="exact"/>
              <w:jc w:val="center"/>
              <w:rPr>
                <w:rFonts w:ascii="宋体" w:cs="宋体"/>
                <w:sz w:val="18"/>
                <w:szCs w:val="18"/>
              </w:rPr>
            </w:pPr>
            <w:r>
              <w:rPr>
                <w:rFonts w:hint="eastAsia" w:ascii="宋体" w:cs="宋体"/>
                <w:sz w:val="18"/>
                <w:szCs w:val="18"/>
              </w:rPr>
              <w:t>全体职工</w:t>
            </w:r>
          </w:p>
        </w:tc>
      </w:tr>
      <w:tr w14:paraId="1DC31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438" w:type="dxa"/>
            <w:vMerge w:val="continue"/>
            <w:vAlign w:val="center"/>
          </w:tcPr>
          <w:p w14:paraId="5F4AFBBF">
            <w:pPr>
              <w:spacing w:line="260" w:lineRule="exact"/>
              <w:jc w:val="center"/>
              <w:rPr>
                <w:rFonts w:ascii="宋体" w:cs="宋体"/>
                <w:sz w:val="18"/>
                <w:szCs w:val="18"/>
              </w:rPr>
            </w:pPr>
          </w:p>
        </w:tc>
        <w:tc>
          <w:tcPr>
            <w:tcW w:w="723" w:type="dxa"/>
            <w:vAlign w:val="center"/>
          </w:tcPr>
          <w:p w14:paraId="0DB014C7">
            <w:pPr>
              <w:spacing w:line="260" w:lineRule="exact"/>
              <w:jc w:val="center"/>
              <w:rPr>
                <w:rFonts w:hint="eastAsia" w:ascii="宋体" w:hAnsi="宋体" w:cs="宋体"/>
                <w:sz w:val="18"/>
                <w:szCs w:val="18"/>
              </w:rPr>
            </w:pPr>
            <w:r>
              <w:rPr>
                <w:rFonts w:hint="eastAsia" w:ascii="宋体" w:hAnsi="宋体" w:cs="宋体"/>
                <w:sz w:val="18"/>
                <w:szCs w:val="18"/>
              </w:rPr>
              <w:t>可持续影响指标</w:t>
            </w:r>
          </w:p>
          <w:p w14:paraId="4C868E6D">
            <w:pPr>
              <w:spacing w:line="260" w:lineRule="exact"/>
              <w:jc w:val="center"/>
              <w:rPr>
                <w:rFonts w:ascii="宋体" w:cs="宋体"/>
                <w:sz w:val="18"/>
                <w:szCs w:val="18"/>
              </w:rPr>
            </w:pPr>
          </w:p>
        </w:tc>
        <w:tc>
          <w:tcPr>
            <w:tcW w:w="759" w:type="dxa"/>
            <w:gridSpan w:val="2"/>
            <w:vAlign w:val="center"/>
          </w:tcPr>
          <w:p w14:paraId="459965BD">
            <w:pPr>
              <w:spacing w:line="260" w:lineRule="exact"/>
              <w:jc w:val="center"/>
              <w:rPr>
                <w:rFonts w:hint="eastAsia" w:ascii="宋体" w:hAnsi="宋体" w:cs="宋体"/>
                <w:sz w:val="18"/>
                <w:szCs w:val="18"/>
              </w:rPr>
            </w:pPr>
            <w:r>
              <w:rPr>
                <w:rFonts w:hint="eastAsia" w:ascii="宋体" w:hAnsi="宋体" w:cs="宋体"/>
                <w:sz w:val="18"/>
                <w:szCs w:val="18"/>
              </w:rPr>
              <w:t>可持续影响指标</w:t>
            </w:r>
          </w:p>
        </w:tc>
        <w:tc>
          <w:tcPr>
            <w:tcW w:w="2872" w:type="dxa"/>
            <w:vAlign w:val="center"/>
          </w:tcPr>
          <w:p w14:paraId="69F70FF6">
            <w:pPr>
              <w:spacing w:line="260" w:lineRule="exact"/>
              <w:jc w:val="left"/>
              <w:rPr>
                <w:rFonts w:hint="eastAsia" w:ascii="宋体" w:hAnsi="宋体" w:cs="宋体"/>
                <w:sz w:val="18"/>
                <w:szCs w:val="18"/>
              </w:rPr>
            </w:pPr>
            <w:r>
              <w:rPr>
                <w:rFonts w:hint="eastAsia" w:ascii="宋体" w:hAnsi="宋体" w:cs="宋体"/>
                <w:sz w:val="18"/>
                <w:szCs w:val="18"/>
              </w:rPr>
              <w:t>持续影响</w:t>
            </w:r>
          </w:p>
        </w:tc>
        <w:tc>
          <w:tcPr>
            <w:tcW w:w="4228" w:type="dxa"/>
            <w:gridSpan w:val="2"/>
            <w:vAlign w:val="center"/>
          </w:tcPr>
          <w:p w14:paraId="35B260CC">
            <w:pPr>
              <w:spacing w:line="260" w:lineRule="exact"/>
              <w:jc w:val="center"/>
              <w:rPr>
                <w:rFonts w:ascii="宋体" w:cs="宋体"/>
                <w:sz w:val="18"/>
                <w:szCs w:val="18"/>
              </w:rPr>
            </w:pPr>
            <w:r>
              <w:rPr>
                <w:rFonts w:hint="eastAsia" w:ascii="宋体" w:cs="宋体"/>
                <w:sz w:val="18"/>
                <w:szCs w:val="18"/>
              </w:rPr>
              <w:t>1年</w:t>
            </w:r>
          </w:p>
        </w:tc>
      </w:tr>
      <w:tr w14:paraId="7CCA80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7" w:hRule="atLeast"/>
        </w:trPr>
        <w:tc>
          <w:tcPr>
            <w:tcW w:w="438" w:type="dxa"/>
            <w:vMerge w:val="continue"/>
            <w:vAlign w:val="center"/>
          </w:tcPr>
          <w:p w14:paraId="5AD9A5EA">
            <w:pPr>
              <w:spacing w:line="260" w:lineRule="exact"/>
              <w:jc w:val="center"/>
              <w:rPr>
                <w:rFonts w:ascii="宋体" w:cs="宋体"/>
                <w:sz w:val="18"/>
                <w:szCs w:val="18"/>
              </w:rPr>
            </w:pPr>
          </w:p>
        </w:tc>
        <w:tc>
          <w:tcPr>
            <w:tcW w:w="723" w:type="dxa"/>
            <w:vAlign w:val="center"/>
          </w:tcPr>
          <w:p w14:paraId="628D3434">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759" w:type="dxa"/>
            <w:gridSpan w:val="2"/>
            <w:vAlign w:val="center"/>
          </w:tcPr>
          <w:p w14:paraId="03EE5D66">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2872" w:type="dxa"/>
            <w:vAlign w:val="center"/>
          </w:tcPr>
          <w:p w14:paraId="5DC1CF79">
            <w:pPr>
              <w:spacing w:line="260" w:lineRule="exact"/>
              <w:jc w:val="left"/>
              <w:rPr>
                <w:rFonts w:hint="eastAsia" w:ascii="宋体" w:hAnsi="宋体" w:cs="宋体"/>
                <w:sz w:val="18"/>
                <w:szCs w:val="18"/>
              </w:rPr>
            </w:pPr>
            <w:r>
              <w:rPr>
                <w:rFonts w:ascii="宋体" w:hAnsi="宋体" w:eastAsia="宋体" w:cs="宋体"/>
                <w:i w:val="0"/>
                <w:strike w:val="0"/>
                <w:color w:val="000000"/>
                <w:spacing w:val="0"/>
                <w:sz w:val="18"/>
                <w:u w:val="none"/>
                <w:vertAlign w:val="baseline"/>
              </w:rPr>
              <w:t>人员</w:t>
            </w:r>
            <w:r>
              <w:rPr>
                <w:rFonts w:hint="eastAsia" w:ascii="宋体" w:hAnsi="宋体" w:eastAsia="宋体" w:cs="宋体"/>
                <w:i w:val="0"/>
                <w:strike w:val="0"/>
                <w:color w:val="000000"/>
                <w:spacing w:val="0"/>
                <w:sz w:val="18"/>
                <w:u w:val="none"/>
                <w:vertAlign w:val="baseline"/>
              </w:rPr>
              <w:t>满意度</w:t>
            </w:r>
          </w:p>
        </w:tc>
        <w:tc>
          <w:tcPr>
            <w:tcW w:w="4228" w:type="dxa"/>
            <w:gridSpan w:val="2"/>
            <w:vAlign w:val="center"/>
          </w:tcPr>
          <w:p w14:paraId="6254E5E8">
            <w:pPr>
              <w:spacing w:line="260" w:lineRule="exact"/>
              <w:jc w:val="center"/>
              <w:rPr>
                <w:rFonts w:ascii="宋体" w:cs="宋体"/>
                <w:sz w:val="18"/>
                <w:szCs w:val="18"/>
              </w:rPr>
            </w:pPr>
            <w:r>
              <w:rPr>
                <w:rFonts w:ascii="Times New Roman" w:hAnsi="Times New Roman" w:cs="Times New Roman"/>
                <w:i w:val="0"/>
                <w:strike w:val="0"/>
                <w:color w:val="000000"/>
                <w:spacing w:val="0"/>
                <w:sz w:val="18"/>
                <w:u w:val="none"/>
              </w:rPr>
              <w:t>≥</w:t>
            </w:r>
            <w:r>
              <w:rPr>
                <w:rFonts w:ascii="宋体" w:hAnsi="宋体" w:eastAsia="宋体" w:cs="宋体"/>
                <w:i w:val="0"/>
                <w:strike w:val="0"/>
                <w:color w:val="000000"/>
                <w:spacing w:val="0"/>
                <w:sz w:val="18"/>
                <w:u w:val="none"/>
              </w:rPr>
              <w:t>9</w:t>
            </w:r>
            <w:r>
              <w:rPr>
                <w:rFonts w:hint="eastAsia" w:ascii="宋体" w:hAnsi="宋体" w:eastAsia="宋体" w:cs="宋体"/>
                <w:i w:val="0"/>
                <w:strike w:val="0"/>
                <w:color w:val="000000"/>
                <w:spacing w:val="0"/>
                <w:sz w:val="18"/>
                <w:u w:val="none"/>
              </w:rPr>
              <w:t>5</w:t>
            </w:r>
            <w:r>
              <w:rPr>
                <w:rFonts w:ascii="宋体" w:hAnsi="宋体" w:eastAsia="宋体" w:cs="宋体"/>
                <w:i w:val="0"/>
                <w:strike w:val="0"/>
                <w:color w:val="000000"/>
                <w:spacing w:val="0"/>
                <w:sz w:val="18"/>
                <w:u w:val="none"/>
              </w:rPr>
              <w:t>%</w:t>
            </w:r>
          </w:p>
        </w:tc>
      </w:tr>
    </w:tbl>
    <w:p w14:paraId="5421F8A3">
      <w:pPr>
        <w:topLinePunct/>
        <w:spacing w:line="560" w:lineRule="exact"/>
        <w:rPr>
          <w:rFonts w:hint="eastAsia" w:ascii="仿宋_GB2312" w:hAnsi="TimesNewRoman" w:eastAsia="仿宋_GB2312" w:cs="TimesNewRoman"/>
          <w:b/>
          <w:sz w:val="32"/>
          <w:szCs w:val="32"/>
        </w:rPr>
      </w:pPr>
    </w:p>
    <w:p w14:paraId="5E1E8920">
      <w:pPr>
        <w:topLinePunct/>
        <w:spacing w:line="560" w:lineRule="exact"/>
        <w:ind w:firstLine="960" w:firstLineChars="3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（二）机关运行经费。</w:t>
      </w:r>
    </w:p>
    <w:p w14:paraId="7E0D606D">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寿县众兴镇卫生院为非参照公务员法管理的事业单位，按照部门预算机关运行经费口径，2026年无机关运行经费财政拨款预算。</w:t>
      </w:r>
    </w:p>
    <w:p w14:paraId="536A48EA">
      <w:pPr>
        <w:topLinePunct/>
        <w:spacing w:line="560" w:lineRule="exact"/>
        <w:ind w:firstLine="640"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（三）政府采购情况。</w:t>
      </w:r>
    </w:p>
    <w:p w14:paraId="09C9A43C">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rPr>
        <w:t>寿县众兴镇卫生院</w:t>
      </w:r>
      <w:r>
        <w:rPr>
          <w:rFonts w:hint="eastAsia" w:ascii="仿宋_GB2312" w:hAnsi="TimesNewRoman" w:eastAsia="仿宋_GB2312" w:cs="TimesNewRoman"/>
          <w:sz w:val="32"/>
          <w:szCs w:val="32"/>
        </w:rPr>
        <w:t>2026年政府采购预算</w:t>
      </w:r>
      <w:r>
        <w:rPr>
          <w:rFonts w:hint="eastAsia" w:ascii="仿宋_GB2312" w:hAnsi="TimesNewRoman" w:eastAsia="仿宋_GB2312" w:cs="TimesNewRoman"/>
          <w:sz w:val="32"/>
          <w:szCs w:val="32"/>
          <w:lang w:val="en-US" w:eastAsia="zh-CN"/>
        </w:rPr>
        <w:t>11</w:t>
      </w:r>
      <w:r>
        <w:rPr>
          <w:rFonts w:hint="eastAsia" w:ascii="仿宋_GB2312" w:hAnsi="TimesNewRoman" w:eastAsia="仿宋_GB2312" w:cs="TimesNewRoman"/>
          <w:sz w:val="32"/>
          <w:szCs w:val="32"/>
        </w:rPr>
        <w:t>万元。其中：政府采购货物预算</w:t>
      </w:r>
      <w:r>
        <w:rPr>
          <w:rFonts w:hint="eastAsia" w:ascii="仿宋_GB2312" w:hAnsi="TimesNewRoman" w:eastAsia="仿宋_GB2312" w:cs="TimesNewRoman"/>
          <w:sz w:val="32"/>
          <w:szCs w:val="32"/>
          <w:lang w:val="en-US" w:eastAsia="zh-CN"/>
        </w:rPr>
        <w:t>11</w:t>
      </w:r>
      <w:r>
        <w:rPr>
          <w:rFonts w:hint="eastAsia" w:ascii="仿宋_GB2312" w:hAnsi="TimesNewRoman" w:eastAsia="仿宋_GB2312" w:cs="TimesNewRoman"/>
          <w:sz w:val="32"/>
          <w:szCs w:val="32"/>
        </w:rPr>
        <w:t>万元，政府采购工程预算0万元，政府采购服务预算0万元。</w:t>
      </w:r>
    </w:p>
    <w:p w14:paraId="7A0992F7">
      <w:pPr>
        <w:topLinePunct/>
        <w:spacing w:line="560" w:lineRule="exact"/>
        <w:ind w:firstLine="640"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（四）国有资产占有使用情况。</w:t>
      </w:r>
    </w:p>
    <w:p w14:paraId="02F53052">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截至2025年12月31日，</w:t>
      </w:r>
      <w:r>
        <w:rPr>
          <w:rFonts w:hint="eastAsia" w:ascii="仿宋_GB2312" w:hAnsi="TimesNewRoman" w:eastAsia="仿宋_GB2312" w:cs="TimesNewRoman"/>
          <w:kern w:val="0"/>
          <w:sz w:val="32"/>
          <w:szCs w:val="32"/>
        </w:rPr>
        <w:t>寿县众兴镇卫生院</w:t>
      </w:r>
      <w:r>
        <w:rPr>
          <w:rFonts w:hint="eastAsia" w:ascii="仿宋_GB2312" w:hAnsi="TimesNewRoman" w:eastAsia="仿宋_GB2312" w:cs="TimesNewRoman"/>
          <w:sz w:val="32"/>
          <w:szCs w:val="32"/>
        </w:rPr>
        <w:t>共有车辆1辆，其中：其他用车1辆。单价50万元以上的通用设备0台（套），单价100万元以上的专用设备0台（套）。</w:t>
      </w:r>
    </w:p>
    <w:p w14:paraId="3FF94D9A">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2026年寿县众兴镇卫生院预算安排购置公务用车0辆，购置费0万元；安排购置单价50万元以上的通用设备0台（套），购置费0万元；安排购置单价100万元以上专用设备0台（套），购置费0万元。</w:t>
      </w:r>
    </w:p>
    <w:p w14:paraId="1C279049">
      <w:pPr>
        <w:topLinePunct/>
        <w:spacing w:line="560" w:lineRule="exact"/>
        <w:ind w:firstLine="640"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（五）绩效目标设置情况。</w:t>
      </w:r>
    </w:p>
    <w:p w14:paraId="62E017D6">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2026年，</w:t>
      </w:r>
      <w:r>
        <w:rPr>
          <w:rFonts w:hint="eastAsia" w:ascii="仿宋_GB2312" w:hAnsi="TimesNewRoman" w:eastAsia="仿宋_GB2312" w:cs="TimesNewRoman"/>
          <w:kern w:val="0"/>
          <w:sz w:val="32"/>
          <w:szCs w:val="32"/>
        </w:rPr>
        <w:t>寿县众兴镇卫生院2</w:t>
      </w:r>
      <w:r>
        <w:rPr>
          <w:rFonts w:hint="eastAsia" w:ascii="仿宋_GB2312" w:hAnsi="TimesNewRoman" w:eastAsia="仿宋_GB2312" w:cs="TimesNewRoman"/>
          <w:sz w:val="32"/>
          <w:szCs w:val="32"/>
        </w:rPr>
        <w:t>个项目实行了绩效目标管理，涉及一般公共预算当年财政拨款5.44万元、政府性基金预算当年财政拨款0万元、国有资本经营预算当年财政拨款0万元、财政专户管理资金当年安排0万元和单位资金当年安排500万元。</w:t>
      </w:r>
    </w:p>
    <w:p w14:paraId="40985E20">
      <w:pPr>
        <w:topLinePunct/>
        <w:spacing w:line="560" w:lineRule="exact"/>
        <w:rPr>
          <w:rFonts w:ascii="TimesNewRoman" w:hAnsi="TimesNewRoman" w:eastAsia="黑体" w:cs="TimesNewRoman"/>
          <w:sz w:val="36"/>
          <w:szCs w:val="36"/>
        </w:rPr>
      </w:pPr>
    </w:p>
    <w:p w14:paraId="36A16D8B">
      <w:pPr>
        <w:topLinePunct/>
        <w:spacing w:line="560" w:lineRule="exact"/>
        <w:jc w:val="both"/>
        <w:rPr>
          <w:rFonts w:ascii="TimesNewRoman" w:hAnsi="TimesNewRoman" w:eastAsia="黑体" w:cs="TimesNewRoman"/>
          <w:sz w:val="36"/>
          <w:szCs w:val="36"/>
        </w:rPr>
      </w:pPr>
    </w:p>
    <w:p w14:paraId="5670B714">
      <w:pPr>
        <w:topLinePunct/>
        <w:spacing w:line="560" w:lineRule="exact"/>
        <w:jc w:val="center"/>
        <w:rPr>
          <w:rFonts w:ascii="TimesNewRoman" w:hAnsi="TimesNewRoman" w:eastAsia="黑体" w:cs="TimesNewRoman"/>
          <w:sz w:val="36"/>
          <w:szCs w:val="36"/>
        </w:rPr>
      </w:pPr>
      <w:r>
        <w:rPr>
          <w:rFonts w:ascii="TimesNewRoman" w:hAnsi="TimesNewRoman" w:eastAsia="黑体" w:cs="TimesNewRoman"/>
          <w:sz w:val="36"/>
          <w:szCs w:val="36"/>
        </w:rPr>
        <w:t>第</w:t>
      </w:r>
      <w:r>
        <w:rPr>
          <w:rFonts w:hint="eastAsia" w:ascii="TimesNewRoman" w:hAnsi="TimesNewRoman" w:eastAsia="黑体" w:cs="TimesNewRoman"/>
          <w:sz w:val="36"/>
          <w:szCs w:val="36"/>
        </w:rPr>
        <w:t>三</w:t>
      </w:r>
      <w:r>
        <w:rPr>
          <w:rFonts w:ascii="TimesNewRoman" w:hAnsi="TimesNewRoman" w:eastAsia="黑体" w:cs="TimesNewRoman"/>
          <w:sz w:val="36"/>
          <w:szCs w:val="36"/>
        </w:rPr>
        <w:t>部分</w:t>
      </w:r>
      <w:r>
        <w:rPr>
          <w:rFonts w:hint="eastAsia" w:ascii="TimesNewRoman" w:hAnsi="TimesNewRoman" w:eastAsia="黑体" w:cs="TimesNewRoman"/>
          <w:sz w:val="36"/>
          <w:szCs w:val="36"/>
        </w:rPr>
        <w:t xml:space="preserve"> </w:t>
      </w:r>
      <w:r>
        <w:rPr>
          <w:rFonts w:ascii="TimesNewRoman" w:hAnsi="TimesNewRoman" w:eastAsia="黑体" w:cs="TimesNewRoman"/>
          <w:sz w:val="36"/>
          <w:szCs w:val="36"/>
        </w:rPr>
        <w:t>名词解释</w:t>
      </w:r>
    </w:p>
    <w:p w14:paraId="0AC45F57">
      <w:pPr>
        <w:topLinePunct/>
        <w:spacing w:line="560" w:lineRule="exact"/>
        <w:rPr>
          <w:rFonts w:ascii="TimesNewRoman" w:hAnsi="TimesNewRoman" w:eastAsia="黑体" w:cs="TimesNewRoman"/>
          <w:szCs w:val="32"/>
        </w:rPr>
      </w:pPr>
    </w:p>
    <w:p w14:paraId="03931BD6">
      <w:pPr>
        <w:topLinePunct/>
        <w:spacing w:line="560" w:lineRule="exact"/>
        <w:ind w:firstLine="640" w:firstLineChars="200"/>
        <w:rPr>
          <w:rFonts w:ascii="TimesNewRoman" w:hAnsi="TimesNewRoman" w:eastAsia="仿宋_GB2312" w:cs="TimesNewRoman"/>
          <w:kern w:val="0"/>
          <w:sz w:val="32"/>
          <w:szCs w:val="32"/>
        </w:rPr>
      </w:pPr>
      <w:r>
        <w:rPr>
          <w:rFonts w:hint="eastAsia" w:ascii="楷体_GB2312" w:hAnsi="TimesNewRoman" w:eastAsia="楷体_GB2312" w:cs="TimesNewRoman"/>
          <w:sz w:val="32"/>
          <w:szCs w:val="32"/>
        </w:rPr>
        <w:t>一、财政拨款收入</w:t>
      </w:r>
      <w:r>
        <w:rPr>
          <w:rFonts w:hint="eastAsia" w:ascii="楷体_GB2312" w:hAnsi="TimesNewRoman" w:eastAsia="楷体_GB2312" w:cs="TimesNewRoman"/>
          <w:b/>
          <w:sz w:val="32"/>
          <w:szCs w:val="32"/>
        </w:rPr>
        <w:t>：</w:t>
      </w:r>
      <w:r>
        <w:rPr>
          <w:rFonts w:ascii="TimesNewRoman" w:hAnsi="TimesNewRoman" w:eastAsia="仿宋_GB2312" w:cs="TimesNewRoman"/>
          <w:kern w:val="0"/>
          <w:sz w:val="32"/>
          <w:szCs w:val="32"/>
        </w:rPr>
        <w:t>指部门或单位从同级财政部门取得的财政预算资金。</w:t>
      </w:r>
    </w:p>
    <w:p w14:paraId="5C584D59">
      <w:pPr>
        <w:pStyle w:val="15"/>
        <w:topLinePunct/>
        <w:spacing w:beforeAutospacing="0" w:afterAutospacing="0" w:line="560" w:lineRule="exact"/>
        <w:ind w:firstLine="627" w:firstLineChars="196"/>
        <w:jc w:val="both"/>
        <w:rPr>
          <w:rFonts w:ascii="TimesNewRoman" w:hAnsi="TimesNewRoman" w:eastAsia="黑体" w:cs="TimesNewRoman"/>
          <w:sz w:val="32"/>
          <w:szCs w:val="32"/>
        </w:rPr>
      </w:pPr>
      <w:r>
        <w:rPr>
          <w:rFonts w:ascii="楷体_GB2312" w:hAnsi="TimesNewRoman" w:eastAsia="楷体_GB2312" w:cs="TimesNewRoman"/>
          <w:kern w:val="2"/>
          <w:sz w:val="32"/>
          <w:szCs w:val="32"/>
        </w:rPr>
        <w:t>二、事业收入：</w:t>
      </w:r>
      <w:r>
        <w:rPr>
          <w:rFonts w:ascii="TimesNewRoman" w:hAnsi="TimesNewRoman" w:eastAsia="仿宋_GB2312" w:cs="TimesNewRoman"/>
          <w:sz w:val="32"/>
          <w:szCs w:val="32"/>
        </w:rPr>
        <w:t>指事业单位开展专业业务活动及辅助活动所取得的收入。</w:t>
      </w:r>
    </w:p>
    <w:p w14:paraId="39DB5FCF">
      <w:pPr>
        <w:pStyle w:val="15"/>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三、</w:t>
      </w:r>
      <w:bookmarkStart w:id="0" w:name="OLE_LINK4"/>
      <w:bookmarkStart w:id="1" w:name="OLE_LINK3"/>
      <w:r>
        <w:rPr>
          <w:rFonts w:ascii="楷体_GB2312" w:hAnsi="TimesNewRoman" w:eastAsia="楷体_GB2312" w:cs="TimesNewRoman"/>
          <w:kern w:val="2"/>
          <w:sz w:val="32"/>
          <w:szCs w:val="32"/>
        </w:rPr>
        <w:t>财政专户管理资金</w:t>
      </w:r>
      <w:bookmarkEnd w:id="0"/>
      <w:bookmarkEnd w:id="1"/>
      <w:r>
        <w:rPr>
          <w:rFonts w:ascii="楷体_GB2312" w:hAnsi="TimesNewRoman" w:eastAsia="楷体_GB2312" w:cs="TimesNewRoman"/>
          <w:kern w:val="2"/>
          <w:sz w:val="32"/>
          <w:szCs w:val="32"/>
        </w:rPr>
        <w:t>：</w:t>
      </w:r>
      <w:r>
        <w:rPr>
          <w:rFonts w:ascii="TimesNewRoman" w:hAnsi="TimesNewRoman" w:eastAsia="仿宋_GB2312" w:cs="TimesNewRoman"/>
          <w:sz w:val="32"/>
          <w:szCs w:val="32"/>
        </w:rPr>
        <w:t>指按照非税收入管理相关规定，纳入财政专户管理的教育收费等。</w:t>
      </w:r>
    </w:p>
    <w:p w14:paraId="1DB6AA54">
      <w:pPr>
        <w:pStyle w:val="15"/>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四、</w:t>
      </w:r>
      <w:bookmarkStart w:id="2" w:name="OLE_LINK13"/>
      <w:bookmarkStart w:id="3" w:name="OLE_LINK14"/>
      <w:r>
        <w:rPr>
          <w:rFonts w:ascii="楷体_GB2312" w:hAnsi="TimesNewRoman" w:eastAsia="楷体_GB2312" w:cs="TimesNewRoman"/>
          <w:kern w:val="2"/>
          <w:sz w:val="32"/>
          <w:szCs w:val="32"/>
        </w:rPr>
        <w:t>事业单位经营收入</w:t>
      </w:r>
      <w:bookmarkEnd w:id="2"/>
      <w:bookmarkEnd w:id="3"/>
      <w:r>
        <w:rPr>
          <w:rFonts w:ascii="楷体_GB2312" w:hAnsi="TimesNewRoman" w:eastAsia="楷体_GB2312" w:cs="TimesNewRoman"/>
          <w:kern w:val="2"/>
          <w:sz w:val="32"/>
          <w:szCs w:val="32"/>
        </w:rPr>
        <w:t>：</w:t>
      </w:r>
      <w:r>
        <w:rPr>
          <w:rFonts w:ascii="TimesNewRoman" w:hAnsi="TimesNewRoman" w:eastAsia="仿宋_GB2312" w:cs="TimesNewRoman"/>
          <w:sz w:val="32"/>
          <w:szCs w:val="32"/>
        </w:rPr>
        <w:t>指事业单位在专业业务活动及其辅助活动之外开展非独立核算经营活动取得的收入。</w:t>
      </w:r>
    </w:p>
    <w:p w14:paraId="6E258B1B">
      <w:pPr>
        <w:pStyle w:val="15"/>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五、</w:t>
      </w:r>
      <w:bookmarkStart w:id="4" w:name="OLE_LINK5"/>
      <w:bookmarkStart w:id="5" w:name="OLE_LINK6"/>
      <w:r>
        <w:rPr>
          <w:rFonts w:ascii="楷体_GB2312" w:hAnsi="TimesNewRoman" w:eastAsia="楷体_GB2312" w:cs="TimesNewRoman"/>
          <w:kern w:val="2"/>
          <w:sz w:val="32"/>
          <w:szCs w:val="32"/>
        </w:rPr>
        <w:t>附属单位上缴收入</w:t>
      </w:r>
      <w:bookmarkEnd w:id="4"/>
      <w:bookmarkEnd w:id="5"/>
      <w:r>
        <w:rPr>
          <w:rFonts w:ascii="楷体_GB2312" w:hAnsi="TimesNewRoman" w:eastAsia="楷体_GB2312" w:cs="TimesNewRoman"/>
          <w:kern w:val="2"/>
          <w:sz w:val="32"/>
          <w:szCs w:val="32"/>
        </w:rPr>
        <w:t>：</w:t>
      </w:r>
      <w:r>
        <w:rPr>
          <w:rFonts w:ascii="TimesNewRoman" w:hAnsi="TimesNewRoman" w:eastAsia="仿宋_GB2312" w:cs="TimesNewRoman"/>
          <w:sz w:val="32"/>
          <w:szCs w:val="32"/>
        </w:rPr>
        <w:t>本单位所属下级单位上缴给本单位的全部收入。</w:t>
      </w:r>
    </w:p>
    <w:p w14:paraId="517DBEBD">
      <w:pPr>
        <w:pStyle w:val="15"/>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六、</w:t>
      </w:r>
      <w:bookmarkStart w:id="6" w:name="OLE_LINK8"/>
      <w:bookmarkStart w:id="7" w:name="OLE_LINK7"/>
      <w:r>
        <w:rPr>
          <w:rFonts w:ascii="楷体_GB2312" w:hAnsi="TimesNewRoman" w:eastAsia="楷体_GB2312" w:cs="TimesNewRoman"/>
          <w:kern w:val="2"/>
          <w:sz w:val="32"/>
          <w:szCs w:val="32"/>
        </w:rPr>
        <w:t>上年结转</w:t>
      </w:r>
      <w:bookmarkEnd w:id="6"/>
      <w:bookmarkEnd w:id="7"/>
      <w:r>
        <w:rPr>
          <w:rFonts w:ascii="楷体_GB2312" w:hAnsi="TimesNewRoman" w:eastAsia="楷体_GB2312" w:cs="TimesNewRoman"/>
          <w:kern w:val="2"/>
          <w:sz w:val="32"/>
          <w:szCs w:val="32"/>
        </w:rPr>
        <w:t>：</w:t>
      </w:r>
      <w:r>
        <w:rPr>
          <w:rFonts w:ascii="TimesNewRoman" w:hAnsi="TimesNewRoman" w:eastAsia="仿宋_GB2312" w:cs="TimesNewRoman"/>
          <w:sz w:val="32"/>
          <w:szCs w:val="32"/>
        </w:rPr>
        <w:t>指以前年度安排、结转到本年仍按原用途继续使用的资金。</w:t>
      </w:r>
    </w:p>
    <w:p w14:paraId="1179FBBD">
      <w:pPr>
        <w:pStyle w:val="15"/>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七、</w:t>
      </w:r>
      <w:bookmarkStart w:id="8" w:name="OLE_LINK9"/>
      <w:bookmarkStart w:id="9" w:name="OLE_LINK10"/>
      <w:r>
        <w:rPr>
          <w:rFonts w:ascii="楷体_GB2312" w:hAnsi="TimesNewRoman" w:eastAsia="楷体_GB2312" w:cs="TimesNewRoman"/>
          <w:kern w:val="2"/>
          <w:sz w:val="32"/>
          <w:szCs w:val="32"/>
        </w:rPr>
        <w:t>结转下年</w:t>
      </w:r>
      <w:bookmarkEnd w:id="8"/>
      <w:bookmarkEnd w:id="9"/>
      <w:r>
        <w:rPr>
          <w:rFonts w:ascii="楷体_GB2312" w:hAnsi="TimesNewRoman" w:eastAsia="楷体_GB2312" w:cs="TimesNewRoman"/>
          <w:kern w:val="2"/>
          <w:sz w:val="32"/>
          <w:szCs w:val="32"/>
        </w:rPr>
        <w:t>：</w:t>
      </w:r>
      <w:r>
        <w:rPr>
          <w:rFonts w:ascii="TimesNewRoman" w:hAnsi="TimesNewRoman" w:eastAsia="仿宋_GB2312" w:cs="TimesNewRoman"/>
          <w:sz w:val="32"/>
          <w:szCs w:val="32"/>
        </w:rPr>
        <w:t>指以前年度预算安排、因客观条件发生变化无法按原计划实施，需以后年度按原用途继续使用的资金。</w:t>
      </w:r>
    </w:p>
    <w:p w14:paraId="667D9B1E">
      <w:pPr>
        <w:pStyle w:val="15"/>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八、</w:t>
      </w:r>
      <w:bookmarkStart w:id="10" w:name="OLE_LINK11"/>
      <w:bookmarkStart w:id="11" w:name="OLE_LINK12"/>
      <w:r>
        <w:rPr>
          <w:rFonts w:ascii="楷体_GB2312" w:hAnsi="TimesNewRoman" w:eastAsia="楷体_GB2312" w:cs="TimesNewRoman"/>
          <w:kern w:val="2"/>
          <w:sz w:val="32"/>
          <w:szCs w:val="32"/>
        </w:rPr>
        <w:t>基本支出</w:t>
      </w:r>
      <w:bookmarkEnd w:id="10"/>
      <w:bookmarkEnd w:id="11"/>
      <w:r>
        <w:rPr>
          <w:rFonts w:ascii="楷体_GB2312" w:hAnsi="TimesNewRoman" w:eastAsia="楷体_GB2312" w:cs="TimesNewRoman"/>
          <w:kern w:val="2"/>
          <w:sz w:val="32"/>
          <w:szCs w:val="32"/>
        </w:rPr>
        <w:t>：</w:t>
      </w:r>
      <w:r>
        <w:rPr>
          <w:rFonts w:ascii="TimesNewRoman" w:hAnsi="TimesNewRoman" w:eastAsia="仿宋_GB2312" w:cs="TimesNewRoman"/>
          <w:sz w:val="32"/>
          <w:szCs w:val="32"/>
        </w:rPr>
        <w:t>指为保障机构正常运转、完成日常工作任务而发生的人员支出和公用支出。</w:t>
      </w:r>
    </w:p>
    <w:p w14:paraId="55A6DECB">
      <w:pPr>
        <w:pStyle w:val="15"/>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九、项目支出：</w:t>
      </w:r>
      <w:r>
        <w:rPr>
          <w:rFonts w:ascii="TimesNewRoman" w:hAnsi="TimesNewRoman" w:eastAsia="仿宋_GB2312" w:cs="TimesNewRoman"/>
          <w:sz w:val="32"/>
          <w:szCs w:val="32"/>
        </w:rPr>
        <w:t>指在除基本支出之外的支出，主要用于完成特定的工作任务和事业发展目标。</w:t>
      </w:r>
      <w:r>
        <w:rPr>
          <w:rFonts w:ascii="TimesNewRoman" w:hAnsi="TimesNewRoman" w:eastAsia="仿宋_GB2312" w:cs="TimesNewRoman"/>
          <w:sz w:val="32"/>
          <w:szCs w:val="32"/>
        </w:rPr>
        <w:br w:type="textWrapping" w:clear="all"/>
      </w:r>
      <w:r>
        <w:rPr>
          <w:rFonts w:ascii="楷体_GB2312" w:hAnsi="TimesNewRoman" w:eastAsia="楷体_GB2312" w:cs="TimesNewRoman"/>
          <w:kern w:val="2"/>
          <w:sz w:val="32"/>
          <w:szCs w:val="32"/>
        </w:rPr>
        <w:t xml:space="preserve">    十、机关运行经费:</w:t>
      </w:r>
      <w:r>
        <w:rPr>
          <w:rFonts w:ascii="TimesNewRoman" w:hAnsi="TimesNewRoman" w:eastAsia="仿宋_GB2312" w:cs="TimesNewRoman"/>
          <w:sz w:val="32"/>
          <w:szCs w:val="32"/>
        </w:rPr>
        <w:t>为保障行政单位（包括参照公务员法管理的事业单位）运行用于购买货物和服务的各项资金，包括办公及印刷费、邮电费、差旅费、会议费、日常维修费、一般设备购置费、办公用房水电费、办公用房取暖费、办公用房物业管理费、公务用车运行维护费以及其他费用。</w:t>
      </w:r>
    </w:p>
    <w:p w14:paraId="14D792C4">
      <w:pPr>
        <w:spacing w:line="560" w:lineRule="exact"/>
        <w:rPr>
          <w:rFonts w:hint="eastAsia" w:ascii="仿宋_GB2312" w:eastAsia="仿宋_GB2312" w:cs="宋体"/>
          <w:sz w:val="28"/>
          <w:szCs w:val="28"/>
          <w:u w:val="thick"/>
        </w:rPr>
      </w:pPr>
      <w:r>
        <w:rPr>
          <w:rFonts w:hint="eastAsia" w:ascii="仿宋_GB2312" w:hAnsi="仿宋_GB2312" w:eastAsia="仿宋_GB2312" w:cs="仿宋_GB2312"/>
          <w:sz w:val="32"/>
          <w:szCs w:val="32"/>
        </w:rPr>
        <w:t xml:space="preserve">       </w:t>
      </w:r>
    </w:p>
    <w:p w14:paraId="0C2207ED">
      <w:pPr>
        <w:pStyle w:val="14"/>
        <w:rPr>
          <w:rFonts w:hint="eastAsia" w:ascii="仿宋_GB2312" w:eastAsia="仿宋_GB2312" w:cs="宋体"/>
          <w:sz w:val="28"/>
          <w:szCs w:val="28"/>
          <w:u w:val="thick"/>
        </w:rPr>
      </w:pPr>
    </w:p>
    <w:p w14:paraId="27528102">
      <w:pPr>
        <w:pStyle w:val="14"/>
        <w:rPr>
          <w:rFonts w:hint="eastAsia" w:ascii="仿宋_GB2312" w:eastAsia="仿宋_GB2312" w:cs="宋体"/>
          <w:sz w:val="28"/>
          <w:szCs w:val="28"/>
          <w:u w:val="thick"/>
        </w:rPr>
      </w:pPr>
    </w:p>
    <w:p w14:paraId="0349B70B">
      <w:pPr>
        <w:pStyle w:val="14"/>
        <w:rPr>
          <w:rFonts w:hint="eastAsia" w:ascii="仿宋_GB2312" w:eastAsia="仿宋_GB2312" w:cs="宋体"/>
          <w:sz w:val="28"/>
          <w:szCs w:val="28"/>
          <w:u w:val="thick"/>
        </w:rPr>
      </w:pPr>
    </w:p>
    <w:p w14:paraId="76105EFA">
      <w:pPr>
        <w:pStyle w:val="14"/>
        <w:rPr>
          <w:rFonts w:hint="eastAsia" w:ascii="仿宋_GB2312" w:eastAsia="仿宋_GB2312" w:cs="宋体"/>
          <w:sz w:val="28"/>
          <w:szCs w:val="28"/>
          <w:u w:val="thick"/>
        </w:rPr>
      </w:pPr>
    </w:p>
    <w:p w14:paraId="25791F31">
      <w:pPr>
        <w:pStyle w:val="14"/>
        <w:rPr>
          <w:rFonts w:hint="eastAsia" w:ascii="仿宋_GB2312" w:eastAsia="仿宋_GB2312" w:cs="宋体"/>
          <w:sz w:val="28"/>
          <w:szCs w:val="28"/>
          <w:u w:val="thick"/>
        </w:rPr>
      </w:pPr>
    </w:p>
    <w:p w14:paraId="5264ECA2">
      <w:pPr>
        <w:pStyle w:val="14"/>
        <w:rPr>
          <w:rFonts w:hint="eastAsia" w:ascii="仿宋_GB2312" w:eastAsia="仿宋_GB2312" w:cs="宋体"/>
          <w:sz w:val="28"/>
          <w:szCs w:val="28"/>
          <w:u w:val="thick"/>
        </w:rPr>
      </w:pPr>
    </w:p>
    <w:p w14:paraId="1D698EB4">
      <w:pPr>
        <w:pStyle w:val="14"/>
        <w:rPr>
          <w:rFonts w:hint="eastAsia" w:ascii="仿宋_GB2312" w:eastAsia="仿宋_GB2312" w:cs="宋体"/>
          <w:sz w:val="28"/>
          <w:szCs w:val="28"/>
          <w:u w:val="thick"/>
        </w:rPr>
      </w:pPr>
    </w:p>
    <w:p w14:paraId="5645E412">
      <w:pPr>
        <w:pStyle w:val="14"/>
        <w:rPr>
          <w:rFonts w:hint="eastAsia" w:ascii="仿宋_GB2312" w:eastAsia="仿宋_GB2312" w:cs="宋体"/>
          <w:sz w:val="28"/>
          <w:szCs w:val="28"/>
          <w:u w:val="thick"/>
        </w:rPr>
      </w:pPr>
    </w:p>
    <w:p w14:paraId="097419A8">
      <w:pPr>
        <w:pStyle w:val="14"/>
        <w:rPr>
          <w:rFonts w:hint="eastAsia" w:ascii="仿宋_GB2312" w:eastAsia="仿宋_GB2312" w:cs="宋体"/>
          <w:sz w:val="28"/>
          <w:szCs w:val="28"/>
          <w:u w:val="thick"/>
        </w:rPr>
      </w:pPr>
    </w:p>
    <w:p w14:paraId="59527A4E">
      <w:pPr>
        <w:pStyle w:val="14"/>
        <w:rPr>
          <w:rFonts w:hint="eastAsia" w:ascii="仿宋_GB2312" w:eastAsia="仿宋_GB2312" w:cs="宋体"/>
          <w:sz w:val="28"/>
          <w:szCs w:val="28"/>
          <w:u w:val="thick"/>
        </w:rPr>
      </w:pPr>
    </w:p>
    <w:p w14:paraId="376973C3">
      <w:pPr>
        <w:pStyle w:val="14"/>
        <w:rPr>
          <w:rFonts w:hint="eastAsia" w:ascii="仿宋_GB2312" w:eastAsia="仿宋_GB2312" w:cs="宋体"/>
          <w:sz w:val="28"/>
          <w:szCs w:val="28"/>
          <w:u w:val="thick"/>
        </w:rPr>
      </w:pPr>
    </w:p>
    <w:p w14:paraId="564078ED">
      <w:pPr>
        <w:pStyle w:val="14"/>
        <w:rPr>
          <w:rFonts w:hint="eastAsia" w:ascii="仿宋_GB2312" w:eastAsia="仿宋_GB2312" w:cs="宋体"/>
          <w:sz w:val="28"/>
          <w:szCs w:val="28"/>
          <w:u w:val="thick"/>
        </w:rPr>
      </w:pPr>
    </w:p>
    <w:p w14:paraId="0C7C64FF">
      <w:pPr>
        <w:pStyle w:val="14"/>
        <w:rPr>
          <w:rFonts w:hint="eastAsia" w:ascii="仿宋_GB2312" w:eastAsia="仿宋_GB2312" w:cs="宋体"/>
          <w:sz w:val="28"/>
          <w:szCs w:val="28"/>
          <w:u w:val="thick"/>
        </w:rPr>
      </w:pPr>
    </w:p>
    <w:p w14:paraId="2956913D">
      <w:pPr>
        <w:pStyle w:val="14"/>
        <w:rPr>
          <w:rFonts w:hint="eastAsia" w:ascii="仿宋_GB2312" w:eastAsia="仿宋_GB2312" w:cs="宋体"/>
          <w:sz w:val="28"/>
          <w:szCs w:val="28"/>
          <w:u w:val="thick"/>
        </w:rPr>
      </w:pPr>
    </w:p>
    <w:p w14:paraId="0C0B502A">
      <w:pPr>
        <w:pStyle w:val="14"/>
        <w:rPr>
          <w:rFonts w:hint="eastAsia" w:ascii="仿宋_GB2312" w:eastAsia="仿宋_GB2312" w:cs="宋体"/>
          <w:sz w:val="28"/>
          <w:szCs w:val="28"/>
          <w:u w:val="thick"/>
        </w:rPr>
      </w:pPr>
    </w:p>
    <w:p w14:paraId="7B89AA3C">
      <w:pPr>
        <w:pStyle w:val="14"/>
        <w:rPr>
          <w:rFonts w:hint="eastAsia" w:ascii="仿宋_GB2312" w:eastAsia="仿宋_GB2312" w:cs="宋体"/>
          <w:sz w:val="28"/>
          <w:szCs w:val="28"/>
          <w:u w:val="thick"/>
        </w:rPr>
      </w:pPr>
    </w:p>
    <w:p w14:paraId="0A476A8F">
      <w:pPr>
        <w:pStyle w:val="14"/>
        <w:rPr>
          <w:rFonts w:hint="eastAsia" w:ascii="仿宋_GB2312" w:eastAsia="仿宋_GB2312" w:cs="宋体"/>
          <w:sz w:val="28"/>
          <w:szCs w:val="28"/>
          <w:u w:val="thick"/>
        </w:rPr>
      </w:pPr>
    </w:p>
    <w:p w14:paraId="5D1B0090">
      <w:pPr>
        <w:pStyle w:val="14"/>
        <w:rPr>
          <w:rFonts w:hint="eastAsia" w:ascii="仿宋_GB2312" w:eastAsia="仿宋_GB2312" w:cs="宋体"/>
          <w:sz w:val="28"/>
          <w:szCs w:val="28"/>
          <w:u w:val="thick"/>
        </w:rPr>
      </w:pPr>
    </w:p>
    <w:p w14:paraId="43614F08">
      <w:pPr>
        <w:pStyle w:val="14"/>
        <w:rPr>
          <w:rFonts w:hint="eastAsia" w:ascii="仿宋_GB2312" w:eastAsia="仿宋_GB2312" w:cs="宋体"/>
          <w:sz w:val="28"/>
          <w:szCs w:val="28"/>
          <w:u w:val="thick"/>
        </w:rPr>
      </w:pPr>
    </w:p>
    <w:p w14:paraId="4AD1F1D0">
      <w:pPr>
        <w:pStyle w:val="14"/>
        <w:rPr>
          <w:rFonts w:hint="eastAsia" w:ascii="仿宋_GB2312" w:eastAsia="仿宋_GB2312" w:cs="宋体"/>
          <w:sz w:val="28"/>
          <w:szCs w:val="28"/>
          <w:u w:val="thick"/>
        </w:rPr>
      </w:pPr>
    </w:p>
    <w:p w14:paraId="20C7EDBA">
      <w:pPr>
        <w:pStyle w:val="14"/>
        <w:rPr>
          <w:rFonts w:hint="eastAsia" w:ascii="仿宋_GB2312" w:eastAsia="仿宋_GB2312" w:cs="宋体"/>
          <w:sz w:val="28"/>
          <w:szCs w:val="28"/>
          <w:u w:val="thick"/>
        </w:rPr>
      </w:pPr>
    </w:p>
    <w:p w14:paraId="2F9FFFFB">
      <w:pPr>
        <w:pStyle w:val="14"/>
        <w:rPr>
          <w:rFonts w:hint="eastAsia" w:ascii="仿宋_GB2312" w:eastAsia="仿宋_GB2312" w:cs="宋体"/>
          <w:sz w:val="28"/>
          <w:szCs w:val="28"/>
          <w:u w:val="thick"/>
        </w:rPr>
      </w:pPr>
    </w:p>
    <w:p w14:paraId="0213AB55">
      <w:pPr>
        <w:pStyle w:val="14"/>
        <w:rPr>
          <w:rFonts w:hint="eastAsia" w:ascii="仿宋_GB2312" w:eastAsia="仿宋_GB2312" w:cs="宋体"/>
          <w:sz w:val="28"/>
          <w:szCs w:val="28"/>
          <w:u w:val="thick"/>
        </w:rPr>
      </w:pPr>
    </w:p>
    <w:p w14:paraId="19C10742">
      <w:pPr>
        <w:pStyle w:val="14"/>
        <w:spacing w:line="20" w:lineRule="exact"/>
        <w:rPr>
          <w:rFonts w:hint="eastAsia" w:ascii="仿宋_GB2312" w:eastAsia="仿宋_GB2312" w:cs="宋体"/>
          <w:sz w:val="28"/>
          <w:szCs w:val="28"/>
          <w:u w:val="thick"/>
        </w:rPr>
      </w:pPr>
    </w:p>
    <w:p w14:paraId="4AB7878A">
      <w:pPr>
        <w:pStyle w:val="14"/>
        <w:spacing w:line="20" w:lineRule="exact"/>
        <w:rPr>
          <w:rFonts w:hint="eastAsia" w:ascii="仿宋_GB2312" w:eastAsia="仿宋_GB2312" w:cs="宋体"/>
          <w:sz w:val="28"/>
          <w:szCs w:val="28"/>
          <w:u w:val="thick"/>
        </w:rPr>
      </w:pPr>
    </w:p>
    <w:p w14:paraId="07F76A07">
      <w:pPr>
        <w:pStyle w:val="14"/>
        <w:spacing w:line="20" w:lineRule="exact"/>
        <w:rPr>
          <w:rFonts w:hint="eastAsia" w:ascii="仿宋_GB2312" w:eastAsia="仿宋_GB2312" w:cs="宋体"/>
          <w:sz w:val="28"/>
          <w:szCs w:val="28"/>
          <w:u w:val="thick"/>
        </w:rPr>
      </w:pPr>
    </w:p>
    <w:p w14:paraId="6EA839F5">
      <w:pPr>
        <w:pStyle w:val="14"/>
        <w:spacing w:line="20" w:lineRule="exact"/>
        <w:rPr>
          <w:rFonts w:hint="eastAsia" w:ascii="仿宋_GB2312" w:eastAsia="仿宋_GB2312" w:cs="宋体"/>
          <w:sz w:val="28"/>
          <w:szCs w:val="28"/>
          <w:u w:val="thick"/>
        </w:rPr>
      </w:pPr>
    </w:p>
    <w:p w14:paraId="52941B85">
      <w:pPr>
        <w:pStyle w:val="14"/>
        <w:spacing w:line="20" w:lineRule="exact"/>
        <w:rPr>
          <w:rFonts w:hint="eastAsia" w:ascii="仿宋_GB2312" w:eastAsia="仿宋_GB2312" w:cs="宋体"/>
          <w:sz w:val="28"/>
          <w:szCs w:val="28"/>
          <w:u w:val="thick"/>
        </w:rPr>
      </w:pPr>
    </w:p>
    <w:p w14:paraId="7816CCD0">
      <w:pPr>
        <w:pStyle w:val="14"/>
        <w:spacing w:line="20" w:lineRule="exact"/>
        <w:rPr>
          <w:rFonts w:hint="eastAsia" w:ascii="仿宋_GB2312" w:eastAsia="仿宋_GB2312" w:cs="宋体"/>
          <w:sz w:val="28"/>
          <w:szCs w:val="28"/>
          <w:u w:val="thick"/>
        </w:rPr>
      </w:pPr>
    </w:p>
    <w:p w14:paraId="45F24962">
      <w:pPr>
        <w:pStyle w:val="14"/>
        <w:spacing w:line="20" w:lineRule="exact"/>
        <w:rPr>
          <w:rFonts w:hint="eastAsia" w:ascii="仿宋_GB2312" w:eastAsia="仿宋_GB2312" w:cs="宋体"/>
          <w:sz w:val="28"/>
          <w:szCs w:val="28"/>
          <w:u w:val="thick"/>
        </w:rPr>
      </w:pPr>
    </w:p>
    <w:p w14:paraId="79E6D3A5">
      <w:pPr>
        <w:pStyle w:val="14"/>
        <w:spacing w:line="20" w:lineRule="exact"/>
        <w:rPr>
          <w:rFonts w:hint="eastAsia" w:ascii="仿宋_GB2312" w:eastAsia="仿宋_GB2312" w:cs="宋体"/>
          <w:sz w:val="28"/>
          <w:szCs w:val="28"/>
          <w:u w:val="thick"/>
        </w:rPr>
      </w:pPr>
    </w:p>
    <w:p w14:paraId="0274EA70">
      <w:pPr>
        <w:pStyle w:val="14"/>
        <w:spacing w:line="20" w:lineRule="exact"/>
        <w:rPr>
          <w:rFonts w:hint="eastAsia" w:ascii="仿宋_GB2312" w:eastAsia="仿宋_GB2312" w:cs="宋体"/>
          <w:sz w:val="28"/>
          <w:szCs w:val="28"/>
          <w:u w:val="thick"/>
        </w:rPr>
      </w:pPr>
    </w:p>
    <w:p w14:paraId="730CB37C">
      <w:pPr>
        <w:pStyle w:val="14"/>
        <w:spacing w:line="20" w:lineRule="exact"/>
        <w:rPr>
          <w:rFonts w:hint="eastAsia" w:ascii="仿宋_GB2312" w:eastAsia="仿宋_GB2312" w:cs="宋体"/>
          <w:sz w:val="28"/>
          <w:szCs w:val="28"/>
          <w:u w:val="thick"/>
        </w:rPr>
      </w:pPr>
    </w:p>
    <w:p w14:paraId="38CA29A4">
      <w:pPr>
        <w:pStyle w:val="14"/>
        <w:spacing w:line="20" w:lineRule="exact"/>
        <w:rPr>
          <w:rFonts w:hint="eastAsia" w:ascii="仿宋_GB2312" w:eastAsia="仿宋_GB2312" w:cs="宋体"/>
          <w:sz w:val="28"/>
          <w:szCs w:val="28"/>
          <w:u w:val="thick"/>
        </w:rPr>
      </w:pPr>
    </w:p>
    <w:p w14:paraId="51545F8A">
      <w:pPr>
        <w:pStyle w:val="14"/>
        <w:spacing w:line="20" w:lineRule="exact"/>
        <w:rPr>
          <w:rFonts w:hint="eastAsia" w:ascii="仿宋_GB2312" w:eastAsia="仿宋_GB2312" w:cs="宋体"/>
          <w:sz w:val="28"/>
          <w:szCs w:val="28"/>
          <w:u w:val="thick"/>
        </w:rPr>
      </w:pPr>
    </w:p>
    <w:p w14:paraId="2B00841B">
      <w:pPr>
        <w:pStyle w:val="14"/>
        <w:spacing w:line="20" w:lineRule="exact"/>
        <w:rPr>
          <w:rFonts w:hint="eastAsia" w:ascii="仿宋_GB2312" w:eastAsia="仿宋_GB2312" w:cs="宋体"/>
          <w:sz w:val="28"/>
          <w:szCs w:val="28"/>
          <w:u w:val="thick"/>
        </w:rPr>
      </w:pPr>
    </w:p>
    <w:p w14:paraId="26F37075">
      <w:pPr>
        <w:pStyle w:val="14"/>
        <w:spacing w:line="20" w:lineRule="exact"/>
        <w:rPr>
          <w:rFonts w:hint="eastAsia" w:ascii="仿宋_GB2312" w:eastAsia="仿宋_GB2312" w:cs="宋体"/>
          <w:sz w:val="28"/>
          <w:szCs w:val="28"/>
          <w:u w:val="thick"/>
        </w:rPr>
      </w:pPr>
    </w:p>
    <w:p w14:paraId="32CD55E5">
      <w:pPr>
        <w:pStyle w:val="14"/>
        <w:spacing w:line="20" w:lineRule="exact"/>
        <w:rPr>
          <w:rFonts w:hint="eastAsia" w:ascii="仿宋_GB2312" w:eastAsia="仿宋_GB2312" w:cs="宋体"/>
          <w:sz w:val="28"/>
          <w:szCs w:val="28"/>
          <w:u w:val="thick"/>
        </w:rPr>
      </w:pPr>
    </w:p>
    <w:p w14:paraId="61C4D7D2">
      <w:pPr>
        <w:pStyle w:val="14"/>
        <w:spacing w:line="20" w:lineRule="exact"/>
        <w:rPr>
          <w:rFonts w:hint="eastAsia" w:ascii="仿宋_GB2312" w:eastAsia="仿宋_GB2312" w:cs="宋体"/>
          <w:sz w:val="28"/>
          <w:szCs w:val="28"/>
          <w:u w:val="thick"/>
        </w:rPr>
      </w:pPr>
    </w:p>
    <w:p w14:paraId="07EC9488">
      <w:pPr>
        <w:pStyle w:val="14"/>
        <w:spacing w:line="20" w:lineRule="exact"/>
        <w:rPr>
          <w:rFonts w:hint="eastAsia" w:ascii="仿宋_GB2312" w:eastAsia="仿宋_GB2312" w:cs="宋体"/>
          <w:sz w:val="28"/>
          <w:szCs w:val="28"/>
          <w:u w:val="thick"/>
        </w:rPr>
      </w:pPr>
    </w:p>
    <w:p w14:paraId="722AAF4A">
      <w:pPr>
        <w:pStyle w:val="14"/>
        <w:spacing w:line="20" w:lineRule="exact"/>
        <w:rPr>
          <w:rFonts w:hint="eastAsia" w:ascii="仿宋_GB2312" w:eastAsia="仿宋_GB2312" w:cs="宋体"/>
          <w:sz w:val="28"/>
          <w:szCs w:val="28"/>
          <w:u w:val="thick"/>
        </w:rPr>
      </w:pPr>
    </w:p>
    <w:sectPr>
      <w:footerReference r:id="rId5" w:type="default"/>
      <w:footerReference r:id="rId6" w:type="even"/>
      <w:pgSz w:w="11907" w:h="16840"/>
      <w:pgMar w:top="2098" w:right="1474" w:bottom="1985" w:left="1588" w:header="851" w:footer="1134"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mbria">
    <w:panose1 w:val="02040503050406030204"/>
    <w:charset w:val="00"/>
    <w:family w:val="roman"/>
    <w:pitch w:val="default"/>
    <w:sig w:usb0="E00006FF" w:usb1="420024FF" w:usb2="02000000" w:usb3="00000000" w:csb0="2000019F" w:csb1="00000000"/>
  </w:font>
  <w:font w:name="方正小标宋_GBK">
    <w:altName w:val="Arial Unicode MS"/>
    <w:panose1 w:val="02000000000000000000"/>
    <w:charset w:val="86"/>
    <w:family w:val="script"/>
    <w:pitch w:val="default"/>
    <w:sig w:usb0="00000000" w:usb1="00000000" w:usb2="00082016" w:usb3="00000000" w:csb0="00040001" w:csb1="00000000"/>
  </w:font>
  <w:font w:name="TimesNewRoman">
    <w:altName w:val="Arial Unicode MS"/>
    <w:panose1 w:val="02010600030101010101"/>
    <w:charset w:val="86"/>
    <w:family w:val="auto"/>
    <w:pitch w:val="default"/>
    <w:sig w:usb0="00000000" w:usb1="00000000" w:usb2="00000006" w:usb3="00000000" w:csb0="00040001" w:csb1="00000000"/>
  </w:font>
  <w:font w:name="方正小标宋简体">
    <w:altName w:val="Arial Unicode MS"/>
    <w:panose1 w:val="00000600000000000000"/>
    <w:charset w:val="86"/>
    <w:family w:val="auto"/>
    <w:pitch w:val="default"/>
    <w:sig w:usb0="00000000" w:usb1="00000000" w:usb2="00000012" w:usb3="00000000" w:csb0="00160001" w:csb1="12030000"/>
  </w:font>
  <w:font w:name="KSOF4B1AA1F4">
    <w:panose1 w:val="020B0604020202020204"/>
    <w:charset w:val="86"/>
    <w:family w:val="auto"/>
    <w:pitch w:val="default"/>
    <w:sig w:usb0="00000001" w:usb1="00000000" w:usb2="00000000" w:usb3="00000000" w:csb0="00040001" w:csb1="00000000"/>
  </w:font>
  <w:font w:name="KSOFE44F9426">
    <w:panose1 w:val="02010609060101010101"/>
    <w:charset w:val="86"/>
    <w:family w:val="auto"/>
    <w:pitch w:val="default"/>
    <w:sig w:usb0="00000001" w:usb1="00000000" w:usb2="00000000" w:usb3="00000000" w:csb0="00040001" w:csb1="00000000"/>
  </w:font>
  <w:font w:name="KSOF51D5AD36">
    <w:panose1 w:val="020B0604020202020204"/>
    <w:charset w:val="86"/>
    <w:family w:val="auto"/>
    <w:pitch w:val="default"/>
    <w:sig w:usb0="00000001" w:usb1="00000000" w:usb2="00000000" w:usb3="00000000" w:csb0="00040001" w:csb1="00000000"/>
  </w:font>
  <w:font w:name="KSOFF9CC6125">
    <w:panose1 w:val="02010609060101010101"/>
    <w:charset w:val="86"/>
    <w:family w:val="auto"/>
    <w:pitch w:val="default"/>
    <w:sig w:usb0="00000001" w:usb1="00000000" w:usb2="00000000" w:usb3="00000000" w:csb0="00040001" w:csb1="00000000"/>
  </w:font>
  <w:font w:name="KSOFE4500885">
    <w:panose1 w:val="02010609060101010101"/>
    <w:charset w:val="86"/>
    <w:family w:val="auto"/>
    <w:pitch w:val="default"/>
    <w:sig w:usb0="00000001" w:usb1="00000000" w:usb2="00000000" w:usb3="00000000" w:csb0="00040001" w:csb1="00000000"/>
  </w:font>
  <w:font w:name="KSOFF9CBECC6">
    <w:panose1 w:val="02010609060101010101"/>
    <w:charset w:val="86"/>
    <w:family w:val="auto"/>
    <w:pitch w:val="default"/>
    <w:sig w:usb0="00000001"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99E7E">
    <w:pPr>
      <w:pStyle w:val="12"/>
      <w:tabs>
        <w:tab w:val="clear" w:pos="4153"/>
        <w:tab w:val="clear" w:pos="8306"/>
      </w:tabs>
      <w:ind w:right="180"/>
      <w:jc w:val="right"/>
    </w:pPr>
    <w:r>
      <w:rPr>
        <w:rFonts w:hint="eastAsia" w:ascii="宋体" w:hAnsi="宋体"/>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9</w:t>
    </w:r>
    <w:r>
      <w:rPr>
        <w:sz w:val="28"/>
        <w:szCs w:val="28"/>
      </w:rPr>
      <w:fldChar w:fldCharType="end"/>
    </w:r>
    <w:r>
      <w:rPr>
        <w:rFonts w:hint="eastAsia"/>
        <w:sz w:val="28"/>
        <w:szCs w:val="28"/>
      </w:rPr>
      <w:t xml:space="preserve"> </w:t>
    </w:r>
    <w:r>
      <w:rPr>
        <w:rFonts w:hint="eastAsia" w:ascii="宋体" w:hAnsi="宋体"/>
        <w:sz w:val="28"/>
        <w:szCs w:val="28"/>
      </w:rPr>
      <w:t xml:space="preserve">— </w:t>
    </w:r>
  </w:p>
  <w:p w14:paraId="5DEEE72F">
    <w:pPr>
      <w:pStyle w:val="12"/>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CC423">
    <w:pPr>
      <w:pStyle w:val="12"/>
      <w:tabs>
        <w:tab w:val="clear" w:pos="4153"/>
        <w:tab w:val="clear" w:pos="8306"/>
      </w:tabs>
      <w:ind w:left="420" w:leftChars="200"/>
      <w:rPr>
        <w:rFonts w:ascii="宋体" w:hAnsi="宋体"/>
        <w:sz w:val="28"/>
        <w:szCs w:val="28"/>
      </w:rPr>
    </w:pPr>
    <w:r>
      <w:rPr>
        <w:rFonts w:hint="eastAsia" w:ascii="宋体" w:hAnsi="宋体"/>
        <w:sz w:val="28"/>
        <w:szCs w:val="28"/>
      </w:rPr>
      <w:t xml:space="preserve">— </w:t>
    </w: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lang w:val="zh-CN"/>
      </w:rPr>
      <w:t>8</w:t>
    </w:r>
    <w:r>
      <w:rPr>
        <w:rFonts w:hint="eastAsia" w:ascii="宋体" w:hAnsi="宋体"/>
        <w:sz w:val="28"/>
        <w:szCs w:val="28"/>
      </w:rPr>
      <w:fldChar w:fldCharType="end"/>
    </w:r>
    <w:r>
      <w:rPr>
        <w:rFonts w:hint="eastAsia" w:ascii="宋体" w:hAnsi="宋体"/>
        <w:sz w:val="28"/>
        <w:szCs w:val="28"/>
      </w:rPr>
      <w:t xml:space="preserve"> —</w:t>
    </w:r>
  </w:p>
  <w:p w14:paraId="4B016551">
    <w:pPr>
      <w:pStyle w:val="12"/>
      <w:tabs>
        <w:tab w:val="clear" w:pos="4153"/>
        <w:tab w:val="clear"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F2039">
    <w:pPr>
      <w:pStyle w:val="12"/>
      <w:tabs>
        <w:tab w:val="clear" w:pos="4153"/>
        <w:tab w:val="clear" w:pos="8306"/>
      </w:tabs>
      <w:ind w:right="180"/>
      <w:jc w:val="right"/>
    </w:pPr>
    <w:r>
      <w:rPr>
        <w:rFonts w:hint="eastAsia" w:ascii="宋体" w:hAnsi="宋体"/>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27</w:t>
    </w:r>
    <w:r>
      <w:rPr>
        <w:sz w:val="28"/>
        <w:szCs w:val="28"/>
      </w:rPr>
      <w:fldChar w:fldCharType="end"/>
    </w:r>
    <w:r>
      <w:rPr>
        <w:rFonts w:hint="eastAsia"/>
        <w:sz w:val="28"/>
        <w:szCs w:val="28"/>
      </w:rPr>
      <w:t xml:space="preserve"> </w:t>
    </w:r>
    <w:r>
      <w:rPr>
        <w:rFonts w:hint="eastAsia" w:ascii="宋体" w:hAnsi="宋体"/>
        <w:sz w:val="28"/>
        <w:szCs w:val="28"/>
      </w:rPr>
      <w:t xml:space="preserve">— </w:t>
    </w:r>
  </w:p>
  <w:p w14:paraId="25B2F4A1">
    <w:pPr>
      <w:pStyle w:val="12"/>
      <w:tabs>
        <w:tab w:val="clear" w:pos="4153"/>
        <w:tab w:val="clear" w:pos="8306"/>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BCA98">
    <w:pPr>
      <w:pStyle w:val="12"/>
      <w:tabs>
        <w:tab w:val="clear" w:pos="4153"/>
        <w:tab w:val="clear" w:pos="8306"/>
      </w:tabs>
      <w:ind w:left="420" w:leftChars="200"/>
      <w:rPr>
        <w:rFonts w:ascii="宋体" w:hAnsi="宋体"/>
        <w:sz w:val="28"/>
        <w:szCs w:val="28"/>
      </w:rPr>
    </w:pPr>
    <w:r>
      <w:rPr>
        <w:rFonts w:hint="eastAsia" w:ascii="宋体" w:hAnsi="宋体"/>
        <w:sz w:val="28"/>
        <w:szCs w:val="28"/>
      </w:rPr>
      <w:t xml:space="preserve">— </w:t>
    </w: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lang w:val="zh-CN"/>
      </w:rPr>
      <w:t>28</w:t>
    </w:r>
    <w:r>
      <w:rPr>
        <w:rFonts w:hint="eastAsia" w:ascii="宋体" w:hAnsi="宋体"/>
        <w:sz w:val="28"/>
        <w:szCs w:val="28"/>
      </w:rPr>
      <w:fldChar w:fldCharType="end"/>
    </w:r>
    <w:r>
      <w:rPr>
        <w:rFonts w:hint="eastAsia" w:ascii="宋体" w:hAnsi="宋体"/>
        <w:sz w:val="28"/>
        <w:szCs w:val="28"/>
      </w:rPr>
      <w:t xml:space="preserve"> —</w:t>
    </w:r>
  </w:p>
  <w:p w14:paraId="7E0AD298">
    <w:pPr>
      <w:pStyle w:val="12"/>
      <w:tabs>
        <w:tab w:val="clear" w:pos="4153"/>
        <w:tab w:val="clear" w:pos="8306"/>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evenAndOddHeaders w:val="1"/>
  <w:displayHorizontalDrawingGridEvery w:val="1"/>
  <w:displayVerticalDrawingGridEvery w:val="1"/>
  <w:noPunctuationKerning w:val="1"/>
  <w:characterSpacingControl w:val="compressPunctuation"/>
  <w:compat>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437377"/>
    <w:rsid w:val="0572492E"/>
    <w:rsid w:val="08EC759B"/>
    <w:rsid w:val="09D3518A"/>
    <w:rsid w:val="0A602341"/>
    <w:rsid w:val="101D2274"/>
    <w:rsid w:val="140E1CBD"/>
    <w:rsid w:val="1868211E"/>
    <w:rsid w:val="18A961DF"/>
    <w:rsid w:val="18DA548D"/>
    <w:rsid w:val="1CC52A9E"/>
    <w:rsid w:val="1EBA40DD"/>
    <w:rsid w:val="21327D7D"/>
    <w:rsid w:val="213A6D2B"/>
    <w:rsid w:val="21F96609"/>
    <w:rsid w:val="22565FF1"/>
    <w:rsid w:val="23305C34"/>
    <w:rsid w:val="24B466E0"/>
    <w:rsid w:val="27805F0E"/>
    <w:rsid w:val="27FF7BCA"/>
    <w:rsid w:val="28CE6FB2"/>
    <w:rsid w:val="2F727DCD"/>
    <w:rsid w:val="32494863"/>
    <w:rsid w:val="385E4900"/>
    <w:rsid w:val="3D5537BF"/>
    <w:rsid w:val="3DCD6DD0"/>
    <w:rsid w:val="4F8124FC"/>
    <w:rsid w:val="4F964606"/>
    <w:rsid w:val="50AB16B1"/>
    <w:rsid w:val="528744D0"/>
    <w:rsid w:val="53783C67"/>
    <w:rsid w:val="5A4968FF"/>
    <w:rsid w:val="5C7E2B2D"/>
    <w:rsid w:val="5D80482F"/>
    <w:rsid w:val="5E5F394D"/>
    <w:rsid w:val="63D532B0"/>
    <w:rsid w:val="64A55079"/>
    <w:rsid w:val="68400C6C"/>
    <w:rsid w:val="71195EFA"/>
    <w:rsid w:val="77A87288"/>
    <w:rsid w:val="79C869EA"/>
    <w:rsid w:val="79D66298"/>
    <w:rsid w:val="7B5B420B"/>
    <w:rsid w:val="7DE021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0"/>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7"/>
    <w:qFormat/>
    <w:uiPriority w:val="1"/>
    <w:pPr>
      <w:spacing w:before="38"/>
      <w:ind w:left="118"/>
      <w:jc w:val="left"/>
      <w:outlineLvl w:val="1"/>
    </w:pPr>
    <w:rPr>
      <w:rFonts w:ascii="宋体" w:hAnsi="宋体"/>
      <w:kern w:val="0"/>
      <w:sz w:val="32"/>
      <w:szCs w:val="32"/>
      <w:lang w:eastAsia="en-US"/>
    </w:rPr>
  </w:style>
  <w:style w:type="paragraph" w:styleId="3">
    <w:name w:val="heading 2"/>
    <w:basedOn w:val="1"/>
    <w:next w:val="1"/>
    <w:link w:val="64"/>
    <w:qFormat/>
    <w:uiPriority w:val="1"/>
    <w:pPr>
      <w:jc w:val="left"/>
      <w:outlineLvl w:val="2"/>
    </w:pPr>
    <w:rPr>
      <w:rFonts w:ascii="宋体" w:hAnsi="宋体"/>
      <w:kern w:val="0"/>
      <w:sz w:val="31"/>
      <w:szCs w:val="31"/>
      <w:lang w:eastAsia="en-US"/>
    </w:rPr>
  </w:style>
  <w:style w:type="paragraph" w:styleId="4">
    <w:name w:val="heading 3"/>
    <w:basedOn w:val="1"/>
    <w:next w:val="1"/>
    <w:link w:val="61"/>
    <w:qFormat/>
    <w:uiPriority w:val="0"/>
    <w:pPr>
      <w:keepNext/>
      <w:keepLines/>
      <w:spacing w:before="260" w:after="260" w:line="416" w:lineRule="auto"/>
      <w:outlineLvl w:val="2"/>
    </w:pPr>
    <w:rPr>
      <w:b/>
      <w:bCs/>
      <w:sz w:val="32"/>
      <w:szCs w:val="32"/>
    </w:rPr>
  </w:style>
  <w:style w:type="character" w:default="1" w:styleId="20">
    <w:name w:val="Default Paragraph Font"/>
    <w:link w:val="1"/>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szCs w:val="21"/>
    </w:rPr>
  </w:style>
  <w:style w:type="paragraph" w:styleId="6">
    <w:name w:val="Body Text"/>
    <w:basedOn w:val="1"/>
    <w:link w:val="44"/>
    <w:qFormat/>
    <w:uiPriority w:val="0"/>
    <w:pPr>
      <w:jc w:val="center"/>
    </w:pPr>
    <w:rPr>
      <w:rFonts w:eastAsia="黑体"/>
      <w:sz w:val="36"/>
      <w:szCs w:val="20"/>
    </w:rPr>
  </w:style>
  <w:style w:type="paragraph" w:styleId="7">
    <w:name w:val="Body Text Indent"/>
    <w:basedOn w:val="1"/>
    <w:link w:val="50"/>
    <w:qFormat/>
    <w:uiPriority w:val="0"/>
    <w:pPr>
      <w:spacing w:after="120"/>
      <w:ind w:left="420" w:leftChars="200"/>
    </w:pPr>
  </w:style>
  <w:style w:type="paragraph" w:styleId="8">
    <w:name w:val="Plain Text"/>
    <w:basedOn w:val="1"/>
    <w:link w:val="35"/>
    <w:qFormat/>
    <w:uiPriority w:val="0"/>
    <w:rPr>
      <w:rFonts w:ascii="宋体" w:hAnsi="Courier New"/>
    </w:rPr>
  </w:style>
  <w:style w:type="paragraph" w:styleId="9">
    <w:name w:val="Date"/>
    <w:basedOn w:val="1"/>
    <w:next w:val="1"/>
    <w:link w:val="24"/>
    <w:qFormat/>
    <w:uiPriority w:val="0"/>
    <w:pPr>
      <w:ind w:left="100" w:leftChars="2500"/>
    </w:pPr>
  </w:style>
  <w:style w:type="paragraph" w:styleId="10">
    <w:name w:val="Body Text Indent 2"/>
    <w:basedOn w:val="1"/>
    <w:link w:val="37"/>
    <w:qFormat/>
    <w:uiPriority w:val="0"/>
    <w:pPr>
      <w:spacing w:after="120" w:line="480" w:lineRule="auto"/>
      <w:ind w:left="420" w:leftChars="200"/>
    </w:pPr>
  </w:style>
  <w:style w:type="paragraph" w:styleId="11">
    <w:name w:val="Balloon Text"/>
    <w:basedOn w:val="1"/>
    <w:link w:val="45"/>
    <w:qFormat/>
    <w:uiPriority w:val="0"/>
    <w:rPr>
      <w:sz w:val="18"/>
      <w:szCs w:val="18"/>
    </w:rPr>
  </w:style>
  <w:style w:type="paragraph" w:styleId="12">
    <w:name w:val="footer"/>
    <w:basedOn w:val="1"/>
    <w:link w:val="65"/>
    <w:qFormat/>
    <w:uiPriority w:val="0"/>
    <w:pPr>
      <w:tabs>
        <w:tab w:val="center" w:pos="4153"/>
        <w:tab w:val="right" w:pos="8306"/>
      </w:tabs>
      <w:jc w:val="left"/>
    </w:pPr>
    <w:rPr>
      <w:sz w:val="18"/>
      <w:szCs w:val="18"/>
    </w:rPr>
  </w:style>
  <w:style w:type="paragraph" w:styleId="13">
    <w:name w:val="header"/>
    <w:basedOn w:val="1"/>
    <w:link w:val="73"/>
    <w:qFormat/>
    <w:uiPriority w:val="0"/>
    <w:pPr>
      <w:pBdr>
        <w:bottom w:val="single" w:color="000000" w:sz="6" w:space="1"/>
      </w:pBdr>
      <w:tabs>
        <w:tab w:val="center" w:pos="4153"/>
        <w:tab w:val="right" w:pos="8306"/>
      </w:tabs>
      <w:jc w:val="center"/>
    </w:pPr>
    <w:rPr>
      <w:sz w:val="18"/>
      <w:szCs w:val="18"/>
    </w:rPr>
  </w:style>
  <w:style w:type="paragraph" w:styleId="14">
    <w:name w:val="footnote text"/>
    <w:basedOn w:val="1"/>
    <w:link w:val="46"/>
    <w:qFormat/>
    <w:uiPriority w:val="99"/>
    <w:pPr>
      <w:jc w:val="left"/>
    </w:pPr>
    <w:rPr>
      <w:sz w:val="18"/>
      <w:szCs w:val="18"/>
    </w:rPr>
  </w:style>
  <w:style w:type="paragraph" w:styleId="15">
    <w:name w:val="Normal (Web)"/>
    <w:basedOn w:val="1"/>
    <w:qFormat/>
    <w:uiPriority w:val="0"/>
    <w:pPr>
      <w:spacing w:beforeAutospacing="1" w:afterAutospacing="1"/>
      <w:jc w:val="left"/>
    </w:pPr>
    <w:rPr>
      <w:rFonts w:ascii="Calibri" w:hAnsi="Calibri"/>
      <w:kern w:val="0"/>
      <w:sz w:val="24"/>
    </w:rPr>
  </w:style>
  <w:style w:type="paragraph" w:styleId="16">
    <w:name w:val="Body Text First Indent"/>
    <w:basedOn w:val="6"/>
    <w:link w:val="43"/>
    <w:qFormat/>
    <w:uiPriority w:val="0"/>
    <w:pPr>
      <w:spacing w:after="120"/>
      <w:ind w:firstLine="420" w:firstLineChars="100"/>
      <w:jc w:val="both"/>
    </w:pPr>
    <w:rPr>
      <w:rFonts w:eastAsia="宋体"/>
      <w:sz w:val="21"/>
      <w:szCs w:val="24"/>
    </w:rPr>
  </w:style>
  <w:style w:type="paragraph" w:styleId="17">
    <w:name w:val="Body Text First Indent 2"/>
    <w:basedOn w:val="7"/>
    <w:next w:val="16"/>
    <w:link w:val="38"/>
    <w:unhideWhenUsed/>
    <w:qFormat/>
    <w:uiPriority w:val="0"/>
    <w:pPr>
      <w:ind w:firstLine="420" w:firstLineChars="200"/>
    </w:pPr>
    <w:rPr>
      <w:rFonts w:ascii="Calibri" w:hAnsi="Calibri"/>
      <w:szCs w:val="22"/>
    </w:rPr>
  </w:style>
  <w:style w:type="table" w:styleId="19">
    <w:name w:val="Table Grid"/>
    <w:basedOn w:val="18"/>
    <w:qFormat/>
    <w:uiPriority w:val="39"/>
    <w:tblP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
    <w:tcPr>
      <w:vAlign w:val="center"/>
    </w:tcPr>
  </w:style>
  <w:style w:type="character" w:styleId="21">
    <w:name w:val="Strong"/>
    <w:basedOn w:val="20"/>
    <w:link w:val="1"/>
    <w:qFormat/>
    <w:uiPriority w:val="0"/>
    <w:rPr>
      <w:b/>
      <w:bCs/>
    </w:rPr>
  </w:style>
  <w:style w:type="character" w:styleId="22">
    <w:name w:val="Hyperlink"/>
    <w:basedOn w:val="20"/>
    <w:link w:val="1"/>
    <w:qFormat/>
    <w:uiPriority w:val="0"/>
    <w:rPr>
      <w:color w:val="0000FF"/>
      <w:u w:val="single"/>
    </w:rPr>
  </w:style>
  <w:style w:type="paragraph" w:customStyle="1" w:styleId="23">
    <w:name w:val="paragraph text-align-type-center pap-line-28pt pap-line-rule-exact pap-spacing-before-0pt pap-spacing-after-0pt"/>
    <w:basedOn w:val="1"/>
    <w:qFormat/>
    <w:uiPriority w:val="0"/>
    <w:pPr>
      <w:widowControl/>
      <w:spacing w:before="100" w:beforeAutospacing="1" w:after="100" w:afterAutospacing="1"/>
      <w:jc w:val="left"/>
    </w:pPr>
    <w:rPr>
      <w:rFonts w:ascii="宋体" w:hAnsi="宋体" w:cs="宋体"/>
      <w:kern w:val="0"/>
      <w:sz w:val="24"/>
    </w:rPr>
  </w:style>
  <w:style w:type="character" w:customStyle="1" w:styleId="24">
    <w:name w:val="日期 Char"/>
    <w:basedOn w:val="20"/>
    <w:link w:val="9"/>
    <w:qFormat/>
    <w:uiPriority w:val="0"/>
    <w:rPr>
      <w:kern w:val="2"/>
      <w:sz w:val="21"/>
      <w:szCs w:val="24"/>
    </w:rPr>
  </w:style>
  <w:style w:type="character" w:customStyle="1" w:styleId="25">
    <w:name w:val="正文文本 + 缩放 80%"/>
    <w:basedOn w:val="26"/>
    <w:qFormat/>
    <w:uiPriority w:val="0"/>
    <w:rPr>
      <w:color w:val="000000"/>
      <w:spacing w:val="0"/>
      <w:w w:val="80"/>
      <w:position w:val="0"/>
      <w:lang w:val="zh-CN"/>
    </w:rPr>
  </w:style>
  <w:style w:type="character" w:customStyle="1" w:styleId="26">
    <w:name w:val="正文文本_"/>
    <w:basedOn w:val="20"/>
    <w:link w:val="27"/>
    <w:qFormat/>
    <w:uiPriority w:val="0"/>
    <w:rPr>
      <w:rFonts w:ascii="Arial Unicode MS" w:hAnsi="Arial Unicode MS" w:eastAsia="Arial Unicode MS" w:cs="Arial Unicode MS"/>
      <w:sz w:val="30"/>
      <w:szCs w:val="30"/>
      <w:shd w:val="clear" w:color="auto" w:fill="FFFFFF"/>
    </w:rPr>
  </w:style>
  <w:style w:type="paragraph" w:customStyle="1" w:styleId="27">
    <w:name w:val="正文文本1"/>
    <w:basedOn w:val="1"/>
    <w:link w:val="26"/>
    <w:qFormat/>
    <w:uiPriority w:val="0"/>
    <w:pPr>
      <w:shd w:val="clear" w:color="auto" w:fill="FFFFFF"/>
      <w:spacing w:line="619" w:lineRule="exact"/>
      <w:ind w:hanging="1100"/>
      <w:jc w:val="left"/>
    </w:pPr>
    <w:rPr>
      <w:rFonts w:ascii="Arial Unicode MS" w:hAnsi="Arial Unicode MS" w:eastAsia="Arial Unicode MS" w:cs="Arial Unicode MS"/>
      <w:kern w:val="0"/>
      <w:sz w:val="30"/>
      <w:szCs w:val="30"/>
    </w:rPr>
  </w:style>
  <w:style w:type="character" w:customStyle="1" w:styleId="28">
    <w:name w:val="正文文本 (13)_"/>
    <w:basedOn w:val="20"/>
    <w:link w:val="29"/>
    <w:qFormat/>
    <w:uiPriority w:val="0"/>
    <w:rPr>
      <w:rFonts w:ascii="Arial Unicode MS" w:hAnsi="Arial Unicode MS" w:eastAsia="Arial Unicode MS" w:cs="Arial Unicode MS"/>
      <w:sz w:val="28"/>
      <w:szCs w:val="28"/>
      <w:shd w:val="clear" w:color="auto" w:fill="FFFFFF"/>
    </w:rPr>
  </w:style>
  <w:style w:type="paragraph" w:customStyle="1" w:styleId="29">
    <w:name w:val="正文文本 (13)"/>
    <w:basedOn w:val="1"/>
    <w:link w:val="28"/>
    <w:qFormat/>
    <w:uiPriority w:val="0"/>
    <w:pPr>
      <w:shd w:val="clear" w:color="auto" w:fill="FFFFFF"/>
      <w:spacing w:after="360" w:line="0" w:lineRule="atLeast"/>
      <w:jc w:val="left"/>
    </w:pPr>
    <w:rPr>
      <w:rFonts w:ascii="Arial Unicode MS" w:hAnsi="Arial Unicode MS" w:eastAsia="Arial Unicode MS" w:cs="Arial Unicode MS"/>
      <w:kern w:val="0"/>
      <w:sz w:val="28"/>
      <w:szCs w:val="28"/>
    </w:rPr>
  </w:style>
  <w:style w:type="paragraph" w:customStyle="1" w:styleId="30">
    <w:name w:val="正文格式"/>
    <w:basedOn w:val="1"/>
    <w:qFormat/>
    <w:uiPriority w:val="0"/>
    <w:pPr>
      <w:tabs>
        <w:tab w:val="left" w:pos="992"/>
      </w:tabs>
      <w:ind w:firstLine="200" w:firstLineChars="200"/>
    </w:pPr>
    <w:rPr>
      <w:rFonts w:ascii="宋体" w:hAnsi="宋体"/>
    </w:rPr>
  </w:style>
  <w:style w:type="paragraph" w:customStyle="1" w:styleId="31">
    <w:name w:val="标题 #2"/>
    <w:basedOn w:val="1"/>
    <w:link w:val="53"/>
    <w:qFormat/>
    <w:uiPriority w:val="0"/>
    <w:pPr>
      <w:shd w:val="clear" w:color="auto" w:fill="FFFFFF"/>
      <w:spacing w:after="420" w:line="0" w:lineRule="atLeast"/>
      <w:jc w:val="center"/>
      <w:outlineLvl w:val="1"/>
    </w:pPr>
    <w:rPr>
      <w:rFonts w:ascii="Arial Unicode MS" w:hAnsi="Arial Unicode MS" w:eastAsia="Arial Unicode MS" w:cs="Arial Unicode MS"/>
      <w:kern w:val="0"/>
      <w:sz w:val="36"/>
      <w:szCs w:val="36"/>
    </w:rPr>
  </w:style>
  <w:style w:type="paragraph" w:customStyle="1" w:styleId="32">
    <w:name w:val="样式 四号 首行缩进:  0.99 厘米 行距: 固定值 22 磅"/>
    <w:basedOn w:val="1"/>
    <w:qFormat/>
    <w:uiPriority w:val="0"/>
    <w:pPr>
      <w:spacing w:line="520" w:lineRule="exact"/>
      <w:ind w:firstLine="567"/>
    </w:pPr>
    <w:rPr>
      <w:rFonts w:ascii="Calibri" w:hAnsi="Calibri" w:cs="宋体"/>
      <w:szCs w:val="20"/>
    </w:rPr>
  </w:style>
  <w:style w:type="character" w:customStyle="1" w:styleId="33">
    <w:name w:val="15"/>
    <w:basedOn w:val="20"/>
    <w:qFormat/>
    <w:uiPriority w:val="0"/>
    <w:rPr>
      <w:rFonts w:ascii="Times New Roman" w:hAnsi="Times New Roman" w:cs="Times New Roman"/>
    </w:rPr>
  </w:style>
  <w:style w:type="paragraph" w:customStyle="1" w:styleId="34">
    <w:name w:val="paragraph text-align-type-justify pap-line-28pt pap-line-rule-exact pap-spacing-before-0pt pap-spacing-after-0pt"/>
    <w:basedOn w:val="1"/>
    <w:qFormat/>
    <w:uiPriority w:val="0"/>
    <w:pPr>
      <w:widowControl/>
      <w:spacing w:before="100" w:beforeAutospacing="1" w:after="100" w:afterAutospacing="1"/>
      <w:jc w:val="left"/>
    </w:pPr>
    <w:rPr>
      <w:rFonts w:ascii="宋体" w:hAnsi="宋体" w:cs="宋体"/>
      <w:kern w:val="0"/>
      <w:sz w:val="24"/>
    </w:rPr>
  </w:style>
  <w:style w:type="character" w:customStyle="1" w:styleId="35">
    <w:name w:val="纯文本 Char"/>
    <w:basedOn w:val="20"/>
    <w:link w:val="8"/>
    <w:qFormat/>
    <w:uiPriority w:val="0"/>
    <w:rPr>
      <w:rFonts w:ascii="宋体" w:hAnsi="Courier New"/>
      <w:kern w:val="2"/>
      <w:sz w:val="21"/>
      <w:szCs w:val="24"/>
    </w:rPr>
  </w:style>
  <w:style w:type="paragraph" w:customStyle="1" w:styleId="36">
    <w:name w:val="列出段落"/>
    <w:basedOn w:val="1"/>
    <w:qFormat/>
    <w:uiPriority w:val="34"/>
    <w:pPr>
      <w:ind w:firstLine="420" w:firstLineChars="200"/>
    </w:pPr>
    <w:rPr>
      <w:rFonts w:ascii="Calibri" w:hAnsi="Calibri"/>
      <w:szCs w:val="22"/>
    </w:rPr>
  </w:style>
  <w:style w:type="character" w:customStyle="1" w:styleId="37">
    <w:name w:val="正文文本缩进 2 Char"/>
    <w:basedOn w:val="20"/>
    <w:link w:val="10"/>
    <w:qFormat/>
    <w:uiPriority w:val="0"/>
    <w:rPr>
      <w:kern w:val="2"/>
      <w:sz w:val="21"/>
      <w:szCs w:val="24"/>
    </w:rPr>
  </w:style>
  <w:style w:type="character" w:customStyle="1" w:styleId="38">
    <w:name w:val="正文首行缩进 2 Char"/>
    <w:basedOn w:val="39"/>
    <w:link w:val="17"/>
    <w:qFormat/>
    <w:uiPriority w:val="99"/>
    <w:rPr>
      <w:rFonts w:ascii="Calibri" w:hAnsi="Calibri"/>
      <w:szCs w:val="22"/>
    </w:rPr>
  </w:style>
  <w:style w:type="character" w:customStyle="1" w:styleId="39">
    <w:name w:val="正文文本缩进 Char"/>
    <w:basedOn w:val="20"/>
    <w:link w:val="7"/>
    <w:qFormat/>
    <w:uiPriority w:val="0"/>
    <w:rPr>
      <w:kern w:val="2"/>
      <w:sz w:val="21"/>
      <w:szCs w:val="24"/>
    </w:rPr>
  </w:style>
  <w:style w:type="character" w:customStyle="1" w:styleId="40">
    <w:name w:val="正文文本 (9) + 间距 0 pt1"/>
    <w:basedOn w:val="41"/>
    <w:qFormat/>
    <w:uiPriority w:val="0"/>
    <w:rPr>
      <w:color w:val="000000"/>
      <w:spacing w:val="0"/>
      <w:w w:val="100"/>
      <w:position w:val="0"/>
      <w:lang w:val="zh-CN"/>
    </w:rPr>
  </w:style>
  <w:style w:type="character" w:customStyle="1" w:styleId="41">
    <w:name w:val="正文文本 (9)_"/>
    <w:basedOn w:val="20"/>
    <w:link w:val="42"/>
    <w:qFormat/>
    <w:uiPriority w:val="0"/>
    <w:rPr>
      <w:rFonts w:ascii="Arial Unicode MS" w:hAnsi="Arial Unicode MS" w:eastAsia="Arial Unicode MS" w:cs="Arial Unicode MS"/>
      <w:spacing w:val="20"/>
      <w:w w:val="80"/>
      <w:sz w:val="30"/>
      <w:szCs w:val="30"/>
      <w:shd w:val="clear" w:color="auto" w:fill="FFFFFF"/>
    </w:rPr>
  </w:style>
  <w:style w:type="paragraph" w:customStyle="1" w:styleId="42">
    <w:name w:val="正文文本 (9)"/>
    <w:basedOn w:val="1"/>
    <w:link w:val="41"/>
    <w:qFormat/>
    <w:uiPriority w:val="0"/>
    <w:pPr>
      <w:shd w:val="clear" w:color="auto" w:fill="FFFFFF"/>
      <w:spacing w:line="0" w:lineRule="atLeast"/>
      <w:jc w:val="left"/>
    </w:pPr>
    <w:rPr>
      <w:rFonts w:ascii="Arial Unicode MS" w:hAnsi="Arial Unicode MS" w:eastAsia="Arial Unicode MS" w:cs="Arial Unicode MS"/>
      <w:spacing w:val="20"/>
      <w:w w:val="80"/>
      <w:kern w:val="0"/>
      <w:sz w:val="30"/>
      <w:szCs w:val="30"/>
    </w:rPr>
  </w:style>
  <w:style w:type="character" w:customStyle="1" w:styleId="43">
    <w:name w:val="正文首行缩进 Char"/>
    <w:basedOn w:val="44"/>
    <w:link w:val="16"/>
    <w:qFormat/>
    <w:uiPriority w:val="0"/>
    <w:rPr>
      <w:sz w:val="21"/>
      <w:szCs w:val="24"/>
    </w:rPr>
  </w:style>
  <w:style w:type="character" w:customStyle="1" w:styleId="44">
    <w:name w:val="正文文本 Char"/>
    <w:basedOn w:val="20"/>
    <w:link w:val="6"/>
    <w:qFormat/>
    <w:uiPriority w:val="0"/>
    <w:rPr>
      <w:rFonts w:eastAsia="黑体"/>
      <w:kern w:val="2"/>
      <w:sz w:val="36"/>
    </w:rPr>
  </w:style>
  <w:style w:type="character" w:customStyle="1" w:styleId="45">
    <w:name w:val="批注框文本 Char"/>
    <w:basedOn w:val="20"/>
    <w:link w:val="11"/>
    <w:qFormat/>
    <w:uiPriority w:val="0"/>
    <w:rPr>
      <w:kern w:val="2"/>
      <w:sz w:val="18"/>
      <w:szCs w:val="18"/>
    </w:rPr>
  </w:style>
  <w:style w:type="character" w:customStyle="1" w:styleId="46">
    <w:name w:val="脚注文本 Char"/>
    <w:basedOn w:val="20"/>
    <w:link w:val="14"/>
    <w:qFormat/>
    <w:uiPriority w:val="99"/>
    <w:rPr>
      <w:kern w:val="2"/>
      <w:sz w:val="18"/>
      <w:szCs w:val="18"/>
    </w:rPr>
  </w:style>
  <w:style w:type="character" w:customStyle="1" w:styleId="47">
    <w:name w:val="16"/>
    <w:basedOn w:val="20"/>
    <w:link w:val="1"/>
    <w:qFormat/>
    <w:uiPriority w:val="0"/>
    <w:rPr>
      <w:rFonts w:ascii="Times New Roman" w:hAnsi="Times New Roman" w:eastAsia="楷体_GB2312" w:cs="楷体_GB2312"/>
      <w:sz w:val="32"/>
      <w:szCs w:val="32"/>
    </w:rPr>
  </w:style>
  <w:style w:type="paragraph" w:customStyle="1" w:styleId="48">
    <w:name w:val="普通(网站) Char"/>
    <w:basedOn w:val="1"/>
    <w:qFormat/>
    <w:uiPriority w:val="0"/>
    <w:pPr>
      <w:widowControl/>
      <w:spacing w:before="100" w:beforeAutospacing="1" w:after="100" w:afterAutospacing="1"/>
      <w:jc w:val="left"/>
    </w:pPr>
    <w:rPr>
      <w:rFonts w:ascii="宋体" w:hAnsi="宋体" w:cs="宋体"/>
      <w:kern w:val="0"/>
      <w:sz w:val="24"/>
    </w:rPr>
  </w:style>
  <w:style w:type="character" w:customStyle="1" w:styleId="49">
    <w:name w:val="font11"/>
    <w:basedOn w:val="20"/>
    <w:link w:val="1"/>
    <w:qFormat/>
    <w:uiPriority w:val="0"/>
    <w:rPr>
      <w:rFonts w:hint="eastAsia" w:ascii="仿宋_GB2312" w:eastAsia="仿宋_GB2312" w:cs="仿宋_GB2312"/>
      <w:color w:val="000000"/>
      <w:sz w:val="32"/>
      <w:szCs w:val="32"/>
      <w:u w:val="none"/>
    </w:rPr>
  </w:style>
  <w:style w:type="character" w:customStyle="1" w:styleId="50">
    <w:name w:val="正文文本缩进 Char1"/>
    <w:basedOn w:val="20"/>
    <w:link w:val="7"/>
    <w:qFormat/>
    <w:uiPriority w:val="0"/>
    <w:rPr>
      <w:kern w:val="2"/>
      <w:sz w:val="21"/>
      <w:szCs w:val="24"/>
    </w:rPr>
  </w:style>
  <w:style w:type="character" w:customStyle="1" w:styleId="51">
    <w:name w:val="正文文本 + 17 pt1"/>
    <w:basedOn w:val="26"/>
    <w:link w:val="1"/>
    <w:qFormat/>
    <w:uiPriority w:val="0"/>
    <w:rPr>
      <w:color w:val="000000"/>
      <w:spacing w:val="0"/>
      <w:w w:val="80"/>
      <w:position w:val="0"/>
      <w:sz w:val="34"/>
      <w:szCs w:val="34"/>
      <w:lang w:val="zh-CN"/>
    </w:rPr>
  </w:style>
  <w:style w:type="paragraph" w:customStyle="1" w:styleId="52">
    <w:name w:val="p0"/>
    <w:basedOn w:val="1"/>
    <w:qFormat/>
    <w:uiPriority w:val="0"/>
    <w:rPr>
      <w:kern w:val="0"/>
      <w:szCs w:val="21"/>
    </w:rPr>
  </w:style>
  <w:style w:type="character" w:customStyle="1" w:styleId="53">
    <w:name w:val="标题 #2_"/>
    <w:basedOn w:val="20"/>
    <w:link w:val="31"/>
    <w:qFormat/>
    <w:uiPriority w:val="0"/>
    <w:rPr>
      <w:rFonts w:ascii="Arial Unicode MS" w:hAnsi="Arial Unicode MS" w:eastAsia="Arial Unicode MS" w:cs="Arial Unicode MS"/>
      <w:sz w:val="36"/>
      <w:szCs w:val="36"/>
      <w:shd w:val="clear" w:color="auto" w:fill="FFFFFF"/>
    </w:rPr>
  </w:style>
  <w:style w:type="paragraph" w:customStyle="1" w:styleId="54">
    <w:name w:val="MSG_EN_FONT_STYLE_NAME_TEMPLATE_ROLE_NUMBER MSG_EN_FONT_STYLE_NAME_BY_ROLE_TEXT 21"/>
    <w:basedOn w:val="1"/>
    <w:link w:val="68"/>
    <w:unhideWhenUsed/>
    <w:qFormat/>
    <w:uiPriority w:val="99"/>
    <w:pPr>
      <w:shd w:val="clear" w:color="auto" w:fill="FFFFFF"/>
      <w:spacing w:before="560" w:after="280" w:line="300" w:lineRule="exact"/>
    </w:pPr>
    <w:rPr>
      <w:rFonts w:hint="eastAsia" w:ascii="PMingLiU" w:eastAsia="PMingLiU"/>
      <w:kern w:val="0"/>
      <w:sz w:val="30"/>
      <w:szCs w:val="20"/>
    </w:rPr>
  </w:style>
  <w:style w:type="paragraph" w:customStyle="1" w:styleId="55">
    <w:name w:val="Default"/>
    <w:qFormat/>
    <w:uiPriority w:val="99"/>
    <w:pPr>
      <w:widowControl w:val="0"/>
      <w:autoSpaceDE w:val="0"/>
      <w:autoSpaceDN w:val="0"/>
    </w:pPr>
    <w:rPr>
      <w:rFonts w:ascii="Times New Roman" w:hAnsi="Times New Roman" w:eastAsia="宋体" w:cs="Times New Roman"/>
      <w:color w:val="000000"/>
      <w:sz w:val="24"/>
      <w:szCs w:val="24"/>
      <w:lang w:val="en-US" w:eastAsia="zh-CN" w:bidi="ar-SA"/>
    </w:rPr>
  </w:style>
  <w:style w:type="character" w:customStyle="1" w:styleId="56">
    <w:name w:val="font41"/>
    <w:basedOn w:val="20"/>
    <w:link w:val="1"/>
    <w:qFormat/>
    <w:uiPriority w:val="0"/>
    <w:rPr>
      <w:rFonts w:hint="eastAsia" w:ascii="宋体" w:hAnsi="宋体" w:eastAsia="宋体" w:cs="宋体"/>
      <w:color w:val="000000"/>
      <w:sz w:val="32"/>
      <w:szCs w:val="32"/>
      <w:u w:val="none"/>
    </w:rPr>
  </w:style>
  <w:style w:type="character" w:customStyle="1" w:styleId="57">
    <w:name w:val="标题 1 Char"/>
    <w:basedOn w:val="20"/>
    <w:link w:val="2"/>
    <w:qFormat/>
    <w:uiPriority w:val="0"/>
    <w:rPr>
      <w:rFonts w:ascii="Calibri" w:hAnsi="Calibri" w:eastAsia="宋体" w:cs="Times New Roman"/>
      <w:b/>
      <w:kern w:val="44"/>
      <w:sz w:val="44"/>
      <w:szCs w:val="24"/>
    </w:rPr>
  </w:style>
  <w:style w:type="character" w:customStyle="1" w:styleId="58">
    <w:name w:val="正文文本 (4)_"/>
    <w:basedOn w:val="20"/>
    <w:link w:val="59"/>
    <w:qFormat/>
    <w:uiPriority w:val="0"/>
    <w:rPr>
      <w:rFonts w:ascii="Arial Unicode MS" w:hAnsi="Arial Unicode MS" w:eastAsia="Arial Unicode MS" w:cs="Arial Unicode MS"/>
      <w:sz w:val="30"/>
      <w:szCs w:val="30"/>
      <w:shd w:val="clear" w:color="auto" w:fill="FFFFFF"/>
    </w:rPr>
  </w:style>
  <w:style w:type="paragraph" w:customStyle="1" w:styleId="59">
    <w:name w:val="正文文本 (4)"/>
    <w:basedOn w:val="1"/>
    <w:link w:val="58"/>
    <w:qFormat/>
    <w:uiPriority w:val="0"/>
    <w:pPr>
      <w:shd w:val="clear" w:color="auto" w:fill="FFFFFF"/>
      <w:spacing w:line="619" w:lineRule="exact"/>
      <w:jc w:val="distribute"/>
    </w:pPr>
    <w:rPr>
      <w:rFonts w:ascii="Arial Unicode MS" w:hAnsi="Arial Unicode MS" w:eastAsia="Arial Unicode MS" w:cs="Arial Unicode MS"/>
      <w:kern w:val="0"/>
      <w:sz w:val="30"/>
      <w:szCs w:val="30"/>
    </w:rPr>
  </w:style>
  <w:style w:type="paragraph" w:customStyle="1" w:styleId="60">
    <w:name w:val="默认段落字体 Para Char Char Char Char"/>
    <w:basedOn w:val="1"/>
    <w:qFormat/>
    <w:uiPriority w:val="0"/>
    <w:rPr>
      <w:szCs w:val="21"/>
    </w:rPr>
  </w:style>
  <w:style w:type="character" w:customStyle="1" w:styleId="61">
    <w:name w:val="标题 3 Char"/>
    <w:basedOn w:val="20"/>
    <w:link w:val="4"/>
    <w:semiHidden/>
    <w:qFormat/>
    <w:uiPriority w:val="0"/>
    <w:rPr>
      <w:b/>
      <w:bCs/>
      <w:kern w:val="2"/>
      <w:sz w:val="32"/>
      <w:szCs w:val="32"/>
    </w:rPr>
  </w:style>
  <w:style w:type="paragraph" w:customStyle="1" w:styleId="62">
    <w:name w:val="样式1"/>
    <w:basedOn w:val="1"/>
    <w:qFormat/>
    <w:uiPriority w:val="0"/>
    <w:pPr>
      <w:spacing w:line="560" w:lineRule="exact"/>
    </w:pPr>
    <w:rPr>
      <w:rFonts w:ascii="Calibri" w:hAnsi="Calibri" w:eastAsia="仿宋_GB2312"/>
      <w:sz w:val="32"/>
    </w:rPr>
  </w:style>
  <w:style w:type="paragraph" w:customStyle="1" w:styleId="63">
    <w:name w:val="标题 #1"/>
    <w:basedOn w:val="1"/>
    <w:link w:val="71"/>
    <w:qFormat/>
    <w:uiPriority w:val="0"/>
    <w:pPr>
      <w:shd w:val="clear" w:color="auto" w:fill="FFFFFF"/>
      <w:spacing w:before="360" w:after="1020" w:line="946" w:lineRule="exact"/>
      <w:jc w:val="center"/>
      <w:outlineLvl w:val="0"/>
    </w:pPr>
    <w:rPr>
      <w:rFonts w:ascii="Arial Unicode MS" w:hAnsi="Arial Unicode MS" w:eastAsia="Arial Unicode MS" w:cs="Arial Unicode MS"/>
      <w:kern w:val="0"/>
      <w:sz w:val="46"/>
      <w:szCs w:val="46"/>
    </w:rPr>
  </w:style>
  <w:style w:type="character" w:customStyle="1" w:styleId="64">
    <w:name w:val="标题 2 Char"/>
    <w:basedOn w:val="20"/>
    <w:link w:val="3"/>
    <w:semiHidden/>
    <w:qFormat/>
    <w:uiPriority w:val="0"/>
    <w:rPr>
      <w:rFonts w:ascii="Cambria" w:hAnsi="Cambria" w:eastAsia="宋体" w:cs="Times New Roman"/>
      <w:b/>
      <w:bCs/>
      <w:kern w:val="2"/>
      <w:sz w:val="32"/>
      <w:szCs w:val="32"/>
    </w:rPr>
  </w:style>
  <w:style w:type="character" w:customStyle="1" w:styleId="65">
    <w:name w:val="页脚 Char"/>
    <w:basedOn w:val="20"/>
    <w:link w:val="12"/>
    <w:qFormat/>
    <w:uiPriority w:val="99"/>
    <w:rPr>
      <w:kern w:val="2"/>
      <w:sz w:val="18"/>
      <w:szCs w:val="18"/>
    </w:rPr>
  </w:style>
  <w:style w:type="character" w:customStyle="1" w:styleId="66">
    <w:name w:val="bjh-p"/>
    <w:basedOn w:val="20"/>
    <w:link w:val="1"/>
    <w:qFormat/>
    <w:uiPriority w:val="0"/>
  </w:style>
  <w:style w:type="character" w:customStyle="1" w:styleId="67">
    <w:name w:val="NormalCharacter1"/>
    <w:link w:val="1"/>
    <w:qFormat/>
    <w:uiPriority w:val="0"/>
  </w:style>
  <w:style w:type="character" w:customStyle="1" w:styleId="68">
    <w:name w:val="MSG_EN_FONT_STYLE_NAME_TEMPLATE_ROLE_NUMBER MSG_EN_FONT_STYLE_NAME_BY_ROLE_TEXT 2_"/>
    <w:basedOn w:val="20"/>
    <w:link w:val="54"/>
    <w:unhideWhenUsed/>
    <w:qFormat/>
    <w:locked/>
    <w:uiPriority w:val="99"/>
    <w:rPr>
      <w:rFonts w:ascii="PMingLiU" w:eastAsia="PMingLiU"/>
      <w:sz w:val="30"/>
      <w:shd w:val="clear" w:color="auto" w:fill="FFFFFF"/>
    </w:rPr>
  </w:style>
  <w:style w:type="character" w:customStyle="1" w:styleId="69">
    <w:name w:val="正文文本 + 17 pt"/>
    <w:basedOn w:val="26"/>
    <w:link w:val="1"/>
    <w:qFormat/>
    <w:uiPriority w:val="0"/>
    <w:rPr>
      <w:color w:val="000000"/>
      <w:spacing w:val="0"/>
      <w:w w:val="80"/>
      <w:position w:val="0"/>
      <w:sz w:val="34"/>
      <w:szCs w:val="34"/>
      <w:lang w:val="zh-CN"/>
    </w:rPr>
  </w:style>
  <w:style w:type="character" w:customStyle="1" w:styleId="70">
    <w:name w:val="正文文本 (9) + 缩放 100%"/>
    <w:basedOn w:val="41"/>
    <w:link w:val="1"/>
    <w:qFormat/>
    <w:uiPriority w:val="0"/>
    <w:rPr>
      <w:color w:val="000000"/>
      <w:w w:val="100"/>
      <w:position w:val="0"/>
      <w:lang w:val="zh-CN"/>
    </w:rPr>
  </w:style>
  <w:style w:type="character" w:customStyle="1" w:styleId="71">
    <w:name w:val="标题 #1_"/>
    <w:basedOn w:val="20"/>
    <w:link w:val="63"/>
    <w:qFormat/>
    <w:uiPriority w:val="0"/>
    <w:rPr>
      <w:rFonts w:ascii="Arial Unicode MS" w:hAnsi="Arial Unicode MS" w:eastAsia="Arial Unicode MS" w:cs="Arial Unicode MS"/>
      <w:sz w:val="46"/>
      <w:szCs w:val="46"/>
      <w:shd w:val="clear" w:color="auto" w:fill="FFFFFF"/>
    </w:rPr>
  </w:style>
  <w:style w:type="paragraph" w:customStyle="1" w:styleId="72">
    <w:name w:val="NormalIndent1"/>
    <w:qFormat/>
    <w:uiPriority w:val="0"/>
    <w:pPr>
      <w:ind w:firstLine="420" w:firstLineChars="200"/>
      <w:jc w:val="both"/>
    </w:pPr>
    <w:rPr>
      <w:rFonts w:ascii="Times New Roman" w:hAnsi="Times New Roman" w:eastAsia="仿宋_GB2312" w:cs="Times New Roman"/>
      <w:kern w:val="2"/>
      <w:sz w:val="32"/>
      <w:szCs w:val="32"/>
      <w:lang w:val="en-US" w:eastAsia="zh-CN" w:bidi="ar-SA"/>
    </w:rPr>
  </w:style>
  <w:style w:type="character" w:customStyle="1" w:styleId="73">
    <w:name w:val="页眉 Char"/>
    <w:basedOn w:val="20"/>
    <w:link w:val="13"/>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5505</Words>
  <Characters>6161</Characters>
  <TotalTime>2</TotalTime>
  <ScaleCrop>false</ScaleCrop>
  <LinksUpToDate>false</LinksUpToDate>
  <CharactersWithSpaces>6322</CharactersWithSpaces>
  <Application>WPS Office_12.1.0.24657_F1E327BC-269C-435d-A152-05C5408002CA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2026-02-02T00:26:00Z</dcterms:created>
  <dc:creator>Administrator</dc:creator>
  <cp:lastModifiedBy>Crown</cp:lastModifiedBy>
  <dcterms:modified xsi:type="dcterms:W3CDTF">2026-02-02T08:53:09Z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eyJoZGlkIjoiNzY5MDA0ZjNjY2E4NDc2ODMxYWViNTc3MmMzZjM0MjIiLCJ1c2VySWQiOiIzOTI2NjIwOTIifQ==</vt:lpwstr>
  </property>
  <property fmtid="{D5CDD505-2E9C-101B-9397-08002B2CF9AE}" pid="3" name="KSOProductBuildVer">
    <vt:lpwstr>2052-12.1.0.24657</vt:lpwstr>
  </property>
  <property fmtid="{D5CDD505-2E9C-101B-9397-08002B2CF9AE}" pid="4" name="ICV">
    <vt:lpwstr>6CAF9AB925DD48B1B9B8FBDD5C3FC262_12</vt:lpwstr>
  </property>
</Properties>
</file>